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3A08" w14:textId="77777777" w:rsidR="00650B05" w:rsidRPr="003137EA" w:rsidRDefault="00650B05" w:rsidP="00650B05">
      <w:pPr>
        <w:spacing w:after="0" w:line="276" w:lineRule="auto"/>
        <w:ind w:left="19" w:firstLine="0"/>
        <w:rPr>
          <w:rFonts w:ascii="Arial" w:hAnsi="Arial" w:cs="Arial"/>
          <w:color w:val="auto"/>
          <w:szCs w:val="24"/>
        </w:rPr>
      </w:pPr>
    </w:p>
    <w:p w14:paraId="09183228" w14:textId="77777777" w:rsidR="00650B05" w:rsidRPr="003137EA" w:rsidRDefault="00650B05" w:rsidP="00650B05">
      <w:pPr>
        <w:spacing w:after="0" w:line="276" w:lineRule="auto"/>
        <w:ind w:left="19" w:firstLine="0"/>
        <w:rPr>
          <w:rFonts w:ascii="Arial" w:hAnsi="Arial" w:cs="Arial"/>
          <w:color w:val="auto"/>
          <w:szCs w:val="24"/>
        </w:rPr>
      </w:pPr>
    </w:p>
    <w:p w14:paraId="0048D591" w14:textId="77777777" w:rsidR="00650B05" w:rsidRPr="003137EA" w:rsidRDefault="00650B05" w:rsidP="00650B05">
      <w:pPr>
        <w:pStyle w:val="Default"/>
        <w:spacing w:line="276" w:lineRule="auto"/>
        <w:rPr>
          <w:color w:val="auto"/>
        </w:rPr>
      </w:pPr>
    </w:p>
    <w:p w14:paraId="3BABD204" w14:textId="5F0E8DB8" w:rsidR="00650B05" w:rsidRPr="003137EA" w:rsidRDefault="00650B05" w:rsidP="00650B05">
      <w:pPr>
        <w:pStyle w:val="Default"/>
        <w:spacing w:line="276" w:lineRule="auto"/>
        <w:jc w:val="center"/>
        <w:rPr>
          <w:b/>
          <w:bCs/>
          <w:color w:val="auto"/>
          <w:sz w:val="48"/>
          <w:szCs w:val="48"/>
        </w:rPr>
      </w:pPr>
    </w:p>
    <w:p w14:paraId="4C5FB3FE" w14:textId="77777777" w:rsidR="003778D7" w:rsidRPr="003137EA" w:rsidRDefault="003778D7" w:rsidP="00650B05">
      <w:pPr>
        <w:pStyle w:val="Default"/>
        <w:spacing w:line="276" w:lineRule="auto"/>
        <w:jc w:val="center"/>
        <w:rPr>
          <w:b/>
          <w:bCs/>
          <w:color w:val="auto"/>
          <w:sz w:val="48"/>
          <w:szCs w:val="48"/>
        </w:rPr>
      </w:pPr>
    </w:p>
    <w:p w14:paraId="49A4B606" w14:textId="4C09DC73" w:rsidR="00650B05" w:rsidRPr="003137EA" w:rsidRDefault="00650B05" w:rsidP="00650B05">
      <w:pPr>
        <w:pStyle w:val="Default"/>
        <w:spacing w:line="276" w:lineRule="auto"/>
        <w:jc w:val="center"/>
        <w:rPr>
          <w:b/>
          <w:bCs/>
          <w:color w:val="auto"/>
          <w:sz w:val="48"/>
          <w:szCs w:val="48"/>
        </w:rPr>
      </w:pPr>
      <w:r w:rsidRPr="003137EA">
        <w:rPr>
          <w:b/>
          <w:bCs/>
          <w:color w:val="auto"/>
          <w:sz w:val="48"/>
          <w:szCs w:val="48"/>
        </w:rPr>
        <w:t>European Union (Occupational Pension Schemes) Regulations</w:t>
      </w:r>
      <w:r w:rsidR="009C5E2F">
        <w:rPr>
          <w:b/>
          <w:bCs/>
          <w:color w:val="auto"/>
          <w:sz w:val="48"/>
          <w:szCs w:val="48"/>
        </w:rPr>
        <w:t>,</w:t>
      </w:r>
      <w:r w:rsidRPr="003137EA">
        <w:rPr>
          <w:b/>
          <w:bCs/>
          <w:color w:val="auto"/>
          <w:sz w:val="48"/>
          <w:szCs w:val="48"/>
        </w:rPr>
        <w:t xml:space="preserve"> 2021, Regulation 34(4) – Guidance in relation to </w:t>
      </w:r>
      <w:r w:rsidR="00E51CE2">
        <w:rPr>
          <w:b/>
          <w:bCs/>
          <w:color w:val="auto"/>
          <w:sz w:val="48"/>
          <w:szCs w:val="48"/>
        </w:rPr>
        <w:t>p</w:t>
      </w:r>
      <w:r w:rsidRPr="003137EA">
        <w:rPr>
          <w:b/>
          <w:bCs/>
          <w:color w:val="auto"/>
          <w:sz w:val="48"/>
          <w:szCs w:val="48"/>
        </w:rPr>
        <w:t xml:space="preserve">ension </w:t>
      </w:r>
      <w:r w:rsidR="00E51CE2">
        <w:rPr>
          <w:b/>
          <w:bCs/>
          <w:color w:val="auto"/>
          <w:sz w:val="48"/>
          <w:szCs w:val="48"/>
        </w:rPr>
        <w:t>b</w:t>
      </w:r>
      <w:r w:rsidRPr="003137EA">
        <w:rPr>
          <w:b/>
          <w:bCs/>
          <w:color w:val="auto"/>
          <w:sz w:val="48"/>
          <w:szCs w:val="48"/>
        </w:rPr>
        <w:t xml:space="preserve">enefit </w:t>
      </w:r>
      <w:r w:rsidR="00E51CE2">
        <w:rPr>
          <w:b/>
          <w:bCs/>
          <w:color w:val="auto"/>
          <w:sz w:val="48"/>
          <w:szCs w:val="48"/>
        </w:rPr>
        <w:t>s</w:t>
      </w:r>
      <w:r w:rsidRPr="003137EA">
        <w:rPr>
          <w:b/>
          <w:bCs/>
          <w:color w:val="auto"/>
          <w:sz w:val="48"/>
          <w:szCs w:val="48"/>
        </w:rPr>
        <w:t xml:space="preserve">tatement projection assumptions </w:t>
      </w:r>
    </w:p>
    <w:p w14:paraId="4EE7E476" w14:textId="77777777" w:rsidR="00650B05" w:rsidRPr="003137EA" w:rsidRDefault="00650B05" w:rsidP="00650B05">
      <w:pPr>
        <w:pStyle w:val="Default"/>
        <w:spacing w:line="276" w:lineRule="auto"/>
        <w:jc w:val="center"/>
        <w:rPr>
          <w:b/>
          <w:bCs/>
          <w:color w:val="auto"/>
          <w:sz w:val="32"/>
          <w:szCs w:val="32"/>
        </w:rPr>
      </w:pPr>
    </w:p>
    <w:p w14:paraId="31346C5E" w14:textId="77777777" w:rsidR="00650B05" w:rsidRPr="003137EA" w:rsidRDefault="00650B05" w:rsidP="00650B05">
      <w:pPr>
        <w:pStyle w:val="Default"/>
        <w:spacing w:line="276" w:lineRule="auto"/>
        <w:jc w:val="center"/>
        <w:rPr>
          <w:b/>
          <w:bCs/>
          <w:color w:val="auto"/>
          <w:sz w:val="32"/>
          <w:szCs w:val="32"/>
        </w:rPr>
      </w:pPr>
    </w:p>
    <w:p w14:paraId="432E2266" w14:textId="77777777" w:rsidR="00650B05" w:rsidRPr="003137EA" w:rsidRDefault="00650B05" w:rsidP="00650B05">
      <w:pPr>
        <w:pStyle w:val="Default"/>
        <w:spacing w:line="276" w:lineRule="auto"/>
        <w:jc w:val="center"/>
        <w:rPr>
          <w:b/>
          <w:bCs/>
          <w:color w:val="auto"/>
          <w:sz w:val="32"/>
          <w:szCs w:val="32"/>
        </w:rPr>
      </w:pPr>
    </w:p>
    <w:p w14:paraId="5BEA6B22" w14:textId="6CE1FB01" w:rsidR="00650B05" w:rsidRPr="003137EA" w:rsidRDefault="00650B05" w:rsidP="00650B05">
      <w:pPr>
        <w:pStyle w:val="Default"/>
        <w:spacing w:line="276" w:lineRule="auto"/>
        <w:jc w:val="center"/>
        <w:rPr>
          <w:color w:val="auto"/>
          <w:sz w:val="32"/>
          <w:szCs w:val="32"/>
        </w:rPr>
      </w:pPr>
      <w:r w:rsidRPr="003137EA">
        <w:rPr>
          <w:b/>
          <w:bCs/>
          <w:color w:val="auto"/>
          <w:sz w:val="32"/>
          <w:szCs w:val="32"/>
        </w:rPr>
        <w:t>VERSION 1</w:t>
      </w:r>
      <w:r w:rsidR="008A2A82">
        <w:rPr>
          <w:b/>
          <w:bCs/>
          <w:color w:val="auto"/>
          <w:sz w:val="32"/>
          <w:szCs w:val="32"/>
        </w:rPr>
        <w:t>.</w:t>
      </w:r>
      <w:r w:rsidR="00627CA8">
        <w:rPr>
          <w:b/>
          <w:bCs/>
          <w:color w:val="auto"/>
          <w:sz w:val="32"/>
          <w:szCs w:val="32"/>
        </w:rPr>
        <w:t>2</w:t>
      </w:r>
    </w:p>
    <w:p w14:paraId="4B1CED83" w14:textId="77777777" w:rsidR="00650B05" w:rsidRPr="003137EA" w:rsidRDefault="00650B05" w:rsidP="00650B05">
      <w:pPr>
        <w:pStyle w:val="Default"/>
        <w:spacing w:line="276" w:lineRule="auto"/>
        <w:jc w:val="center"/>
        <w:rPr>
          <w:b/>
          <w:bCs/>
          <w:color w:val="auto"/>
          <w:sz w:val="32"/>
          <w:szCs w:val="32"/>
        </w:rPr>
      </w:pPr>
    </w:p>
    <w:p w14:paraId="726D5404" w14:textId="77777777" w:rsidR="00650B05" w:rsidRPr="003137EA" w:rsidRDefault="00650B05" w:rsidP="00650B05">
      <w:pPr>
        <w:pStyle w:val="Default"/>
        <w:spacing w:line="276" w:lineRule="auto"/>
        <w:jc w:val="center"/>
        <w:rPr>
          <w:color w:val="auto"/>
          <w:sz w:val="32"/>
          <w:szCs w:val="32"/>
        </w:rPr>
      </w:pPr>
    </w:p>
    <w:p w14:paraId="673D0633" w14:textId="7172DB24" w:rsidR="00650B05" w:rsidRPr="003137EA" w:rsidRDefault="00650B05" w:rsidP="00650B05">
      <w:pPr>
        <w:pStyle w:val="Default"/>
        <w:spacing w:line="276" w:lineRule="auto"/>
        <w:jc w:val="center"/>
        <w:rPr>
          <w:b/>
          <w:bCs/>
          <w:color w:val="auto"/>
          <w:sz w:val="32"/>
          <w:szCs w:val="32"/>
        </w:rPr>
      </w:pPr>
      <w:r w:rsidRPr="003137EA">
        <w:rPr>
          <w:b/>
          <w:bCs/>
          <w:color w:val="auto"/>
          <w:sz w:val="32"/>
          <w:szCs w:val="32"/>
        </w:rPr>
        <w:t xml:space="preserve">EFFECTIVE DATE: </w:t>
      </w:r>
      <w:r w:rsidR="009C01E2">
        <w:rPr>
          <w:b/>
          <w:bCs/>
          <w:color w:val="auto"/>
          <w:sz w:val="32"/>
          <w:szCs w:val="32"/>
        </w:rPr>
        <w:t xml:space="preserve">1 </w:t>
      </w:r>
      <w:r w:rsidR="007611A6">
        <w:rPr>
          <w:b/>
          <w:bCs/>
          <w:color w:val="auto"/>
          <w:sz w:val="32"/>
          <w:szCs w:val="32"/>
        </w:rPr>
        <w:t>January</w:t>
      </w:r>
      <w:r w:rsidR="00B64B08">
        <w:rPr>
          <w:b/>
          <w:bCs/>
          <w:color w:val="auto"/>
          <w:sz w:val="32"/>
          <w:szCs w:val="32"/>
        </w:rPr>
        <w:t xml:space="preserve"> 202</w:t>
      </w:r>
      <w:r w:rsidR="007611A6">
        <w:rPr>
          <w:b/>
          <w:bCs/>
          <w:color w:val="auto"/>
          <w:sz w:val="32"/>
          <w:szCs w:val="32"/>
        </w:rPr>
        <w:t>5</w:t>
      </w:r>
    </w:p>
    <w:p w14:paraId="2B23D055" w14:textId="77777777" w:rsidR="00650B05" w:rsidRPr="003137EA" w:rsidRDefault="00650B05" w:rsidP="00650B05">
      <w:pPr>
        <w:pStyle w:val="Default"/>
        <w:spacing w:line="276" w:lineRule="auto"/>
        <w:jc w:val="center"/>
        <w:rPr>
          <w:b/>
          <w:bCs/>
          <w:color w:val="auto"/>
        </w:rPr>
      </w:pPr>
    </w:p>
    <w:p w14:paraId="17FC25BF" w14:textId="77777777" w:rsidR="00650B05" w:rsidRPr="003137EA" w:rsidRDefault="00650B05" w:rsidP="00650B05">
      <w:pPr>
        <w:pStyle w:val="Default"/>
        <w:spacing w:line="276" w:lineRule="auto"/>
        <w:jc w:val="center"/>
        <w:rPr>
          <w:b/>
          <w:bCs/>
          <w:color w:val="auto"/>
        </w:rPr>
      </w:pPr>
    </w:p>
    <w:p w14:paraId="3F40D432" w14:textId="77777777" w:rsidR="00650B05" w:rsidRPr="003137EA" w:rsidRDefault="00650B05" w:rsidP="00650B05">
      <w:pPr>
        <w:pStyle w:val="Default"/>
        <w:spacing w:line="276" w:lineRule="auto"/>
        <w:jc w:val="center"/>
        <w:rPr>
          <w:b/>
          <w:bCs/>
          <w:color w:val="auto"/>
        </w:rPr>
      </w:pPr>
    </w:p>
    <w:p w14:paraId="35196AC4" w14:textId="77777777" w:rsidR="00650B05" w:rsidRPr="003137EA" w:rsidRDefault="00650B05" w:rsidP="00650B05">
      <w:pPr>
        <w:pStyle w:val="Default"/>
        <w:spacing w:line="276" w:lineRule="auto"/>
        <w:jc w:val="center"/>
        <w:rPr>
          <w:b/>
          <w:bCs/>
          <w:color w:val="auto"/>
        </w:rPr>
      </w:pPr>
    </w:p>
    <w:tbl>
      <w:tblPr>
        <w:tblStyle w:val="TableGrid"/>
        <w:tblW w:w="0" w:type="auto"/>
        <w:tblLook w:val="04A0" w:firstRow="1" w:lastRow="0" w:firstColumn="1" w:lastColumn="0" w:noHBand="0" w:noVBand="1"/>
      </w:tblPr>
      <w:tblGrid>
        <w:gridCol w:w="8996"/>
      </w:tblGrid>
      <w:tr w:rsidR="00650B05" w:rsidRPr="003137EA" w14:paraId="458AB2C5" w14:textId="77777777" w:rsidTr="00CE0187">
        <w:tc>
          <w:tcPr>
            <w:tcW w:w="9009" w:type="dxa"/>
            <w:tcBorders>
              <w:top w:val="single" w:sz="12" w:space="0" w:color="auto"/>
              <w:left w:val="single" w:sz="12" w:space="0" w:color="auto"/>
              <w:bottom w:val="single" w:sz="12" w:space="0" w:color="auto"/>
              <w:right w:val="single" w:sz="12" w:space="0" w:color="auto"/>
            </w:tcBorders>
          </w:tcPr>
          <w:p w14:paraId="2B21AA8F" w14:textId="77777777" w:rsidR="00650B05" w:rsidRPr="003137EA" w:rsidRDefault="00650B05" w:rsidP="00CE0187">
            <w:pPr>
              <w:pStyle w:val="Default"/>
              <w:spacing w:line="276" w:lineRule="auto"/>
              <w:ind w:left="731"/>
              <w:jc w:val="center"/>
              <w:rPr>
                <w:color w:val="auto"/>
              </w:rPr>
            </w:pPr>
          </w:p>
          <w:p w14:paraId="4599031F" w14:textId="77777777" w:rsidR="00650B05" w:rsidRPr="003137EA" w:rsidRDefault="00650B05" w:rsidP="00CE0187">
            <w:pPr>
              <w:spacing w:after="0" w:line="276" w:lineRule="auto"/>
              <w:ind w:left="164" w:right="169" w:firstLine="0"/>
              <w:rPr>
                <w:rFonts w:ascii="Arial" w:hAnsi="Arial" w:cs="Arial"/>
                <w:b/>
                <w:iCs/>
              </w:rPr>
            </w:pPr>
            <w:r w:rsidRPr="003137EA">
              <w:rPr>
                <w:rFonts w:ascii="Arial" w:hAnsi="Arial" w:cs="Arial"/>
                <w:b/>
                <w:iCs/>
              </w:rPr>
              <w:t>Disclaimer</w:t>
            </w:r>
          </w:p>
          <w:p w14:paraId="1A198791" w14:textId="77777777" w:rsidR="00650B05" w:rsidRPr="003137EA" w:rsidRDefault="00650B05" w:rsidP="00CE0187">
            <w:pPr>
              <w:spacing w:after="0" w:line="276" w:lineRule="auto"/>
              <w:ind w:left="164" w:right="169" w:firstLine="0"/>
              <w:rPr>
                <w:rFonts w:ascii="Arial" w:hAnsi="Arial" w:cs="Arial"/>
                <w:iCs/>
              </w:rPr>
            </w:pPr>
          </w:p>
          <w:p w14:paraId="60728E34" w14:textId="2238D2F7" w:rsidR="00650B05" w:rsidRPr="003137EA" w:rsidRDefault="00650B05" w:rsidP="00CE0187">
            <w:pPr>
              <w:spacing w:after="0" w:line="276" w:lineRule="auto"/>
              <w:ind w:left="164" w:right="169" w:firstLine="0"/>
              <w:jc w:val="both"/>
              <w:rPr>
                <w:rFonts w:ascii="Arial" w:hAnsi="Arial" w:cs="Arial"/>
              </w:rPr>
            </w:pPr>
            <w:r w:rsidRPr="003137EA">
              <w:rPr>
                <w:rFonts w:ascii="Arial" w:hAnsi="Arial" w:cs="Arial"/>
                <w:iCs/>
              </w:rPr>
              <w:t>The Pensions Authority ha</w:t>
            </w:r>
            <w:r w:rsidR="007611A6">
              <w:rPr>
                <w:rFonts w:ascii="Arial" w:hAnsi="Arial" w:cs="Arial"/>
                <w:iCs/>
              </w:rPr>
              <w:t>s</w:t>
            </w:r>
            <w:r w:rsidRPr="003137EA">
              <w:rPr>
                <w:rFonts w:ascii="Arial" w:hAnsi="Arial" w:cs="Arial"/>
                <w:iCs/>
              </w:rPr>
              <w:t xml:space="preserve"> made every effort to ensure that this document is correct. However, no liability whatsoever is accepted by the Pensions Authority, its servants or agents for any errors or omissions in the information contained in this document or for any loss occasioned to any person acting or refraining from acting </w:t>
            </w:r>
            <w:proofErr w:type="gramStart"/>
            <w:r w:rsidRPr="003137EA">
              <w:rPr>
                <w:rFonts w:ascii="Arial" w:hAnsi="Arial" w:cs="Arial"/>
                <w:iCs/>
              </w:rPr>
              <w:t>as a result of</w:t>
            </w:r>
            <w:proofErr w:type="gramEnd"/>
            <w:r w:rsidRPr="003137EA">
              <w:rPr>
                <w:rFonts w:ascii="Arial" w:hAnsi="Arial" w:cs="Arial"/>
                <w:iCs/>
              </w:rPr>
              <w:t xml:space="preserve"> the information in this document.</w:t>
            </w:r>
          </w:p>
          <w:p w14:paraId="25C65A80" w14:textId="77777777" w:rsidR="00650B05" w:rsidRPr="003137EA" w:rsidRDefault="00650B05" w:rsidP="00CE0187">
            <w:pPr>
              <w:pStyle w:val="Default"/>
              <w:spacing w:line="276" w:lineRule="auto"/>
              <w:jc w:val="center"/>
              <w:rPr>
                <w:color w:val="auto"/>
              </w:rPr>
            </w:pPr>
          </w:p>
        </w:tc>
      </w:tr>
    </w:tbl>
    <w:p w14:paraId="2B9B0FCE" w14:textId="77777777" w:rsidR="00650B05" w:rsidRPr="003137EA" w:rsidRDefault="00650B05" w:rsidP="00650B05">
      <w:pPr>
        <w:spacing w:after="0"/>
        <w:rPr>
          <w:rFonts w:ascii="Arial" w:hAnsi="Arial" w:cs="Arial"/>
          <w:szCs w:val="24"/>
        </w:rPr>
        <w:sectPr w:rsidR="00650B05" w:rsidRPr="003137EA" w:rsidSect="00650B05">
          <w:headerReference w:type="default" r:id="rId8"/>
          <w:footerReference w:type="default" r:id="rId9"/>
          <w:headerReference w:type="first" r:id="rId10"/>
          <w:footerReference w:type="first" r:id="rId11"/>
          <w:type w:val="continuous"/>
          <w:pgSz w:w="11906" w:h="16838"/>
          <w:pgMar w:top="1440" w:right="1440" w:bottom="1440" w:left="1440" w:header="708" w:footer="708" w:gutter="0"/>
          <w:cols w:space="708"/>
          <w:docGrid w:linePitch="360"/>
        </w:sectPr>
      </w:pPr>
    </w:p>
    <w:p w14:paraId="6A4A9AF6" w14:textId="04F2FF7B" w:rsidR="00650B05" w:rsidRPr="003137EA" w:rsidRDefault="00650B05" w:rsidP="009622FC">
      <w:pPr>
        <w:spacing w:after="0"/>
        <w:ind w:left="0" w:firstLine="0"/>
        <w:rPr>
          <w:rFonts w:ascii="Arial" w:hAnsi="Arial" w:cs="Arial"/>
          <w:b/>
          <w:bCs/>
          <w:sz w:val="32"/>
          <w:szCs w:val="32"/>
        </w:rPr>
      </w:pPr>
      <w:r w:rsidRPr="003137EA">
        <w:rPr>
          <w:rFonts w:ascii="Arial" w:hAnsi="Arial" w:cs="Arial"/>
          <w:b/>
          <w:bCs/>
          <w:sz w:val="32"/>
          <w:szCs w:val="32"/>
        </w:rPr>
        <w:lastRenderedPageBreak/>
        <w:t>Table of contents</w:t>
      </w:r>
    </w:p>
    <w:p w14:paraId="793FB319" w14:textId="586A7C67" w:rsidR="00650B05" w:rsidRPr="003137EA" w:rsidRDefault="00650B05" w:rsidP="00650B05">
      <w:pPr>
        <w:spacing w:after="0"/>
        <w:rPr>
          <w:rFonts w:ascii="Arial" w:hAnsi="Arial" w:cs="Arial"/>
          <w:szCs w:val="24"/>
        </w:rPr>
      </w:pPr>
    </w:p>
    <w:p w14:paraId="578B1D89" w14:textId="76094D66" w:rsidR="009622FC" w:rsidRPr="009622FC" w:rsidRDefault="009622FC" w:rsidP="00E23909">
      <w:pPr>
        <w:pStyle w:val="TOC1"/>
        <w:tabs>
          <w:tab w:val="left" w:pos="440"/>
          <w:tab w:val="right" w:leader="dot" w:pos="9016"/>
        </w:tabs>
        <w:spacing w:after="0" w:line="360" w:lineRule="auto"/>
        <w:ind w:firstLine="0"/>
        <w:rPr>
          <w:rFonts w:ascii="Arial" w:hAnsi="Arial" w:cs="Arial"/>
          <w:noProof/>
        </w:rPr>
      </w:pPr>
      <w:r w:rsidRPr="009622FC">
        <w:rPr>
          <w:rFonts w:ascii="Arial" w:hAnsi="Arial" w:cs="Arial"/>
          <w:szCs w:val="24"/>
        </w:rPr>
        <w:fldChar w:fldCharType="begin"/>
      </w:r>
      <w:r w:rsidRPr="009622FC">
        <w:rPr>
          <w:rFonts w:ascii="Arial" w:hAnsi="Arial" w:cs="Arial"/>
          <w:szCs w:val="24"/>
        </w:rPr>
        <w:instrText xml:space="preserve"> TOC \o "1-3" \h \z \u </w:instrText>
      </w:r>
      <w:r w:rsidRPr="009622FC">
        <w:rPr>
          <w:rFonts w:ascii="Arial" w:hAnsi="Arial" w:cs="Arial"/>
          <w:szCs w:val="24"/>
        </w:rPr>
        <w:fldChar w:fldCharType="separate"/>
      </w:r>
      <w:hyperlink w:anchor="_Toc109742774" w:history="1">
        <w:r w:rsidRPr="009622FC">
          <w:rPr>
            <w:rStyle w:val="Hyperlink"/>
            <w:rFonts w:ascii="Arial" w:hAnsi="Arial" w:cs="Arial"/>
            <w:noProof/>
          </w:rPr>
          <w:t>1.</w:t>
        </w:r>
        <w:r w:rsidRPr="009622FC">
          <w:rPr>
            <w:rFonts w:ascii="Arial" w:hAnsi="Arial" w:cs="Arial"/>
            <w:noProof/>
          </w:rPr>
          <w:tab/>
        </w:r>
        <w:r w:rsidRPr="009622FC">
          <w:rPr>
            <w:rStyle w:val="Hyperlink"/>
            <w:rFonts w:ascii="Arial" w:hAnsi="Arial" w:cs="Arial"/>
            <w:noProof/>
          </w:rPr>
          <w:t>Introduction</w:t>
        </w:r>
        <w:r w:rsidRPr="009622FC">
          <w:rPr>
            <w:rFonts w:ascii="Arial" w:hAnsi="Arial" w:cs="Arial"/>
            <w:noProof/>
            <w:webHidden/>
          </w:rPr>
          <w:tab/>
        </w:r>
        <w:r w:rsidRPr="009622FC">
          <w:rPr>
            <w:rFonts w:ascii="Arial" w:hAnsi="Arial" w:cs="Arial"/>
            <w:noProof/>
            <w:webHidden/>
          </w:rPr>
          <w:fldChar w:fldCharType="begin"/>
        </w:r>
        <w:r w:rsidRPr="009622FC">
          <w:rPr>
            <w:rFonts w:ascii="Arial" w:hAnsi="Arial" w:cs="Arial"/>
            <w:noProof/>
            <w:webHidden/>
          </w:rPr>
          <w:instrText xml:space="preserve"> PAGEREF _Toc109742774 \h </w:instrText>
        </w:r>
        <w:r w:rsidRPr="009622FC">
          <w:rPr>
            <w:rFonts w:ascii="Arial" w:hAnsi="Arial" w:cs="Arial"/>
            <w:noProof/>
            <w:webHidden/>
          </w:rPr>
        </w:r>
        <w:r w:rsidRPr="009622FC">
          <w:rPr>
            <w:rFonts w:ascii="Arial" w:hAnsi="Arial" w:cs="Arial"/>
            <w:noProof/>
            <w:webHidden/>
          </w:rPr>
          <w:fldChar w:fldCharType="separate"/>
        </w:r>
        <w:r w:rsidR="00865467">
          <w:rPr>
            <w:rFonts w:ascii="Arial" w:hAnsi="Arial" w:cs="Arial"/>
            <w:noProof/>
            <w:webHidden/>
          </w:rPr>
          <w:t>3</w:t>
        </w:r>
        <w:r w:rsidRPr="009622FC">
          <w:rPr>
            <w:rFonts w:ascii="Arial" w:hAnsi="Arial" w:cs="Arial"/>
            <w:noProof/>
            <w:webHidden/>
          </w:rPr>
          <w:fldChar w:fldCharType="end"/>
        </w:r>
      </w:hyperlink>
    </w:p>
    <w:p w14:paraId="0EF8F208" w14:textId="08E9696E" w:rsidR="009622FC" w:rsidRPr="009622FC" w:rsidRDefault="009622FC" w:rsidP="00E23909">
      <w:pPr>
        <w:pStyle w:val="TOC1"/>
        <w:tabs>
          <w:tab w:val="left" w:pos="440"/>
          <w:tab w:val="right" w:leader="dot" w:pos="9016"/>
        </w:tabs>
        <w:spacing w:after="0" w:line="360" w:lineRule="auto"/>
        <w:ind w:firstLine="0"/>
        <w:rPr>
          <w:rFonts w:ascii="Arial" w:hAnsi="Arial" w:cs="Arial"/>
          <w:noProof/>
        </w:rPr>
      </w:pPr>
      <w:hyperlink w:anchor="_Toc109742775" w:history="1">
        <w:r w:rsidRPr="009622FC">
          <w:rPr>
            <w:rStyle w:val="Hyperlink"/>
            <w:rFonts w:ascii="Arial" w:hAnsi="Arial" w:cs="Arial"/>
            <w:noProof/>
          </w:rPr>
          <w:t>2.</w:t>
        </w:r>
        <w:r w:rsidRPr="009622FC">
          <w:rPr>
            <w:rFonts w:ascii="Arial" w:hAnsi="Arial" w:cs="Arial"/>
            <w:noProof/>
          </w:rPr>
          <w:tab/>
        </w:r>
        <w:r w:rsidRPr="009622FC">
          <w:rPr>
            <w:rStyle w:val="Hyperlink"/>
            <w:rFonts w:ascii="Arial" w:hAnsi="Arial" w:cs="Arial"/>
            <w:noProof/>
          </w:rPr>
          <w:t>Scope of this guidance</w:t>
        </w:r>
        <w:r w:rsidRPr="009622FC">
          <w:rPr>
            <w:rFonts w:ascii="Arial" w:hAnsi="Arial" w:cs="Arial"/>
            <w:noProof/>
            <w:webHidden/>
          </w:rPr>
          <w:tab/>
        </w:r>
        <w:r w:rsidRPr="009622FC">
          <w:rPr>
            <w:rFonts w:ascii="Arial" w:hAnsi="Arial" w:cs="Arial"/>
            <w:noProof/>
            <w:webHidden/>
          </w:rPr>
          <w:fldChar w:fldCharType="begin"/>
        </w:r>
        <w:r w:rsidRPr="009622FC">
          <w:rPr>
            <w:rFonts w:ascii="Arial" w:hAnsi="Arial" w:cs="Arial"/>
            <w:noProof/>
            <w:webHidden/>
          </w:rPr>
          <w:instrText xml:space="preserve"> PAGEREF _Toc109742775 \h </w:instrText>
        </w:r>
        <w:r w:rsidRPr="009622FC">
          <w:rPr>
            <w:rFonts w:ascii="Arial" w:hAnsi="Arial" w:cs="Arial"/>
            <w:noProof/>
            <w:webHidden/>
          </w:rPr>
        </w:r>
        <w:r w:rsidRPr="009622FC">
          <w:rPr>
            <w:rFonts w:ascii="Arial" w:hAnsi="Arial" w:cs="Arial"/>
            <w:noProof/>
            <w:webHidden/>
          </w:rPr>
          <w:fldChar w:fldCharType="separate"/>
        </w:r>
        <w:r w:rsidR="00865467">
          <w:rPr>
            <w:rFonts w:ascii="Arial" w:hAnsi="Arial" w:cs="Arial"/>
            <w:noProof/>
            <w:webHidden/>
          </w:rPr>
          <w:t>3</w:t>
        </w:r>
        <w:r w:rsidRPr="009622FC">
          <w:rPr>
            <w:rFonts w:ascii="Arial" w:hAnsi="Arial" w:cs="Arial"/>
            <w:noProof/>
            <w:webHidden/>
          </w:rPr>
          <w:fldChar w:fldCharType="end"/>
        </w:r>
      </w:hyperlink>
    </w:p>
    <w:p w14:paraId="7F69C789" w14:textId="71C7E660" w:rsidR="009622FC" w:rsidRPr="009622FC" w:rsidRDefault="009622FC" w:rsidP="00E23909">
      <w:pPr>
        <w:pStyle w:val="TOC1"/>
        <w:tabs>
          <w:tab w:val="left" w:pos="440"/>
          <w:tab w:val="right" w:leader="dot" w:pos="9016"/>
        </w:tabs>
        <w:spacing w:after="0" w:line="360" w:lineRule="auto"/>
        <w:ind w:firstLine="0"/>
        <w:rPr>
          <w:rFonts w:ascii="Arial" w:hAnsi="Arial" w:cs="Arial"/>
          <w:noProof/>
        </w:rPr>
      </w:pPr>
      <w:hyperlink w:anchor="_Toc109742776" w:history="1">
        <w:r w:rsidRPr="009622FC">
          <w:rPr>
            <w:rStyle w:val="Hyperlink"/>
            <w:rFonts w:ascii="Arial" w:hAnsi="Arial" w:cs="Arial"/>
            <w:noProof/>
          </w:rPr>
          <w:t>3.</w:t>
        </w:r>
        <w:r w:rsidRPr="009622FC">
          <w:rPr>
            <w:rFonts w:ascii="Arial" w:hAnsi="Arial" w:cs="Arial"/>
            <w:noProof/>
          </w:rPr>
          <w:tab/>
        </w:r>
        <w:r w:rsidRPr="009622FC">
          <w:rPr>
            <w:rStyle w:val="Hyperlink"/>
            <w:rFonts w:ascii="Arial" w:hAnsi="Arial" w:cs="Arial"/>
            <w:noProof/>
          </w:rPr>
          <w:t>Projected retirement fund</w:t>
        </w:r>
        <w:r w:rsidRPr="009622FC">
          <w:rPr>
            <w:rFonts w:ascii="Arial" w:hAnsi="Arial" w:cs="Arial"/>
            <w:noProof/>
            <w:webHidden/>
          </w:rPr>
          <w:tab/>
        </w:r>
        <w:r w:rsidRPr="009622FC">
          <w:rPr>
            <w:rFonts w:ascii="Arial" w:hAnsi="Arial" w:cs="Arial"/>
            <w:noProof/>
            <w:webHidden/>
          </w:rPr>
          <w:fldChar w:fldCharType="begin"/>
        </w:r>
        <w:r w:rsidRPr="009622FC">
          <w:rPr>
            <w:rFonts w:ascii="Arial" w:hAnsi="Arial" w:cs="Arial"/>
            <w:noProof/>
            <w:webHidden/>
          </w:rPr>
          <w:instrText xml:space="preserve"> PAGEREF _Toc109742776 \h </w:instrText>
        </w:r>
        <w:r w:rsidRPr="009622FC">
          <w:rPr>
            <w:rFonts w:ascii="Arial" w:hAnsi="Arial" w:cs="Arial"/>
            <w:noProof/>
            <w:webHidden/>
          </w:rPr>
        </w:r>
        <w:r w:rsidRPr="009622FC">
          <w:rPr>
            <w:rFonts w:ascii="Arial" w:hAnsi="Arial" w:cs="Arial"/>
            <w:noProof/>
            <w:webHidden/>
          </w:rPr>
          <w:fldChar w:fldCharType="separate"/>
        </w:r>
        <w:r w:rsidR="00865467">
          <w:rPr>
            <w:rFonts w:ascii="Arial" w:hAnsi="Arial" w:cs="Arial"/>
            <w:noProof/>
            <w:webHidden/>
          </w:rPr>
          <w:t>4</w:t>
        </w:r>
        <w:r w:rsidRPr="009622FC">
          <w:rPr>
            <w:rFonts w:ascii="Arial" w:hAnsi="Arial" w:cs="Arial"/>
            <w:noProof/>
            <w:webHidden/>
          </w:rPr>
          <w:fldChar w:fldCharType="end"/>
        </w:r>
      </w:hyperlink>
    </w:p>
    <w:p w14:paraId="1818E089" w14:textId="0770F54B" w:rsidR="009622FC" w:rsidRPr="009622FC" w:rsidRDefault="009622FC" w:rsidP="00E23909">
      <w:pPr>
        <w:pStyle w:val="TOC1"/>
        <w:tabs>
          <w:tab w:val="left" w:pos="440"/>
          <w:tab w:val="right" w:leader="dot" w:pos="9016"/>
        </w:tabs>
        <w:spacing w:after="0" w:line="360" w:lineRule="auto"/>
        <w:ind w:firstLine="0"/>
        <w:rPr>
          <w:rFonts w:ascii="Arial" w:hAnsi="Arial" w:cs="Arial"/>
          <w:noProof/>
        </w:rPr>
      </w:pPr>
      <w:hyperlink w:anchor="_Toc109742777" w:history="1">
        <w:r w:rsidRPr="009622FC">
          <w:rPr>
            <w:rStyle w:val="Hyperlink"/>
            <w:rFonts w:ascii="Arial" w:hAnsi="Arial" w:cs="Arial"/>
            <w:noProof/>
          </w:rPr>
          <w:t>4.</w:t>
        </w:r>
        <w:r w:rsidRPr="009622FC">
          <w:rPr>
            <w:rFonts w:ascii="Arial" w:hAnsi="Arial" w:cs="Arial"/>
            <w:noProof/>
          </w:rPr>
          <w:tab/>
        </w:r>
        <w:r w:rsidRPr="009622FC">
          <w:rPr>
            <w:rStyle w:val="Hyperlink"/>
            <w:rFonts w:ascii="Arial" w:hAnsi="Arial" w:cs="Arial"/>
            <w:noProof/>
          </w:rPr>
          <w:t>Assumed investment return – best estimate scenario</w:t>
        </w:r>
        <w:r w:rsidRPr="009622FC">
          <w:rPr>
            <w:rFonts w:ascii="Arial" w:hAnsi="Arial" w:cs="Arial"/>
            <w:noProof/>
            <w:webHidden/>
          </w:rPr>
          <w:tab/>
        </w:r>
        <w:r w:rsidRPr="009622FC">
          <w:rPr>
            <w:rFonts w:ascii="Arial" w:hAnsi="Arial" w:cs="Arial"/>
            <w:noProof/>
            <w:webHidden/>
          </w:rPr>
          <w:fldChar w:fldCharType="begin"/>
        </w:r>
        <w:r w:rsidRPr="009622FC">
          <w:rPr>
            <w:rFonts w:ascii="Arial" w:hAnsi="Arial" w:cs="Arial"/>
            <w:noProof/>
            <w:webHidden/>
          </w:rPr>
          <w:instrText xml:space="preserve"> PAGEREF _Toc109742777 \h </w:instrText>
        </w:r>
        <w:r w:rsidRPr="009622FC">
          <w:rPr>
            <w:rFonts w:ascii="Arial" w:hAnsi="Arial" w:cs="Arial"/>
            <w:noProof/>
            <w:webHidden/>
          </w:rPr>
        </w:r>
        <w:r w:rsidRPr="009622FC">
          <w:rPr>
            <w:rFonts w:ascii="Arial" w:hAnsi="Arial" w:cs="Arial"/>
            <w:noProof/>
            <w:webHidden/>
          </w:rPr>
          <w:fldChar w:fldCharType="separate"/>
        </w:r>
        <w:r w:rsidR="00865467">
          <w:rPr>
            <w:rFonts w:ascii="Arial" w:hAnsi="Arial" w:cs="Arial"/>
            <w:noProof/>
            <w:webHidden/>
          </w:rPr>
          <w:t>5</w:t>
        </w:r>
        <w:r w:rsidRPr="009622FC">
          <w:rPr>
            <w:rFonts w:ascii="Arial" w:hAnsi="Arial" w:cs="Arial"/>
            <w:noProof/>
            <w:webHidden/>
          </w:rPr>
          <w:fldChar w:fldCharType="end"/>
        </w:r>
      </w:hyperlink>
    </w:p>
    <w:p w14:paraId="0D6AB4B9" w14:textId="0AF49663" w:rsidR="009622FC" w:rsidRPr="009622FC" w:rsidRDefault="009622FC" w:rsidP="00E23909">
      <w:pPr>
        <w:pStyle w:val="TOC1"/>
        <w:tabs>
          <w:tab w:val="left" w:pos="440"/>
          <w:tab w:val="right" w:leader="dot" w:pos="9016"/>
        </w:tabs>
        <w:spacing w:after="0" w:line="360" w:lineRule="auto"/>
        <w:ind w:firstLine="0"/>
        <w:rPr>
          <w:rFonts w:ascii="Arial" w:hAnsi="Arial" w:cs="Arial"/>
          <w:noProof/>
        </w:rPr>
      </w:pPr>
      <w:hyperlink w:anchor="_Toc109742778" w:history="1">
        <w:r w:rsidRPr="009622FC">
          <w:rPr>
            <w:rStyle w:val="Hyperlink"/>
            <w:rFonts w:ascii="Arial" w:hAnsi="Arial" w:cs="Arial"/>
            <w:noProof/>
          </w:rPr>
          <w:t>5.</w:t>
        </w:r>
        <w:r w:rsidRPr="009622FC">
          <w:rPr>
            <w:rFonts w:ascii="Arial" w:hAnsi="Arial" w:cs="Arial"/>
            <w:noProof/>
          </w:rPr>
          <w:tab/>
        </w:r>
        <w:r w:rsidRPr="009622FC">
          <w:rPr>
            <w:rStyle w:val="Hyperlink"/>
            <w:rFonts w:ascii="Arial" w:hAnsi="Arial" w:cs="Arial"/>
            <w:noProof/>
          </w:rPr>
          <w:t>Assumed investment return – unfavourable scenario</w:t>
        </w:r>
        <w:r w:rsidRPr="009622FC">
          <w:rPr>
            <w:rFonts w:ascii="Arial" w:hAnsi="Arial" w:cs="Arial"/>
            <w:noProof/>
            <w:webHidden/>
          </w:rPr>
          <w:tab/>
        </w:r>
        <w:r w:rsidRPr="009622FC">
          <w:rPr>
            <w:rFonts w:ascii="Arial" w:hAnsi="Arial" w:cs="Arial"/>
            <w:noProof/>
            <w:webHidden/>
          </w:rPr>
          <w:fldChar w:fldCharType="begin"/>
        </w:r>
        <w:r w:rsidRPr="009622FC">
          <w:rPr>
            <w:rFonts w:ascii="Arial" w:hAnsi="Arial" w:cs="Arial"/>
            <w:noProof/>
            <w:webHidden/>
          </w:rPr>
          <w:instrText xml:space="preserve"> PAGEREF _Toc109742778 \h </w:instrText>
        </w:r>
        <w:r w:rsidRPr="009622FC">
          <w:rPr>
            <w:rFonts w:ascii="Arial" w:hAnsi="Arial" w:cs="Arial"/>
            <w:noProof/>
            <w:webHidden/>
          </w:rPr>
        </w:r>
        <w:r w:rsidRPr="009622FC">
          <w:rPr>
            <w:rFonts w:ascii="Arial" w:hAnsi="Arial" w:cs="Arial"/>
            <w:noProof/>
            <w:webHidden/>
          </w:rPr>
          <w:fldChar w:fldCharType="separate"/>
        </w:r>
        <w:r w:rsidR="00865467">
          <w:rPr>
            <w:rFonts w:ascii="Arial" w:hAnsi="Arial" w:cs="Arial"/>
            <w:noProof/>
            <w:webHidden/>
          </w:rPr>
          <w:t>7</w:t>
        </w:r>
        <w:r w:rsidRPr="009622FC">
          <w:rPr>
            <w:rFonts w:ascii="Arial" w:hAnsi="Arial" w:cs="Arial"/>
            <w:noProof/>
            <w:webHidden/>
          </w:rPr>
          <w:fldChar w:fldCharType="end"/>
        </w:r>
      </w:hyperlink>
    </w:p>
    <w:p w14:paraId="51A3E596" w14:textId="2230A0BB" w:rsidR="009622FC" w:rsidRPr="009622FC" w:rsidRDefault="009622FC" w:rsidP="00E23909">
      <w:pPr>
        <w:pStyle w:val="TOC1"/>
        <w:tabs>
          <w:tab w:val="left" w:pos="440"/>
          <w:tab w:val="right" w:leader="dot" w:pos="9016"/>
        </w:tabs>
        <w:spacing w:after="0" w:line="360" w:lineRule="auto"/>
        <w:ind w:firstLine="0"/>
        <w:rPr>
          <w:rFonts w:ascii="Arial" w:hAnsi="Arial" w:cs="Arial"/>
          <w:noProof/>
        </w:rPr>
      </w:pPr>
      <w:hyperlink w:anchor="_Toc109742779" w:history="1">
        <w:r w:rsidRPr="009622FC">
          <w:rPr>
            <w:rStyle w:val="Hyperlink"/>
            <w:rFonts w:ascii="Arial" w:hAnsi="Arial" w:cs="Arial"/>
            <w:noProof/>
          </w:rPr>
          <w:t>6.</w:t>
        </w:r>
        <w:r w:rsidRPr="009622FC">
          <w:rPr>
            <w:rFonts w:ascii="Arial" w:hAnsi="Arial" w:cs="Arial"/>
            <w:noProof/>
          </w:rPr>
          <w:tab/>
        </w:r>
        <w:r w:rsidRPr="009622FC">
          <w:rPr>
            <w:rStyle w:val="Hyperlink"/>
            <w:rFonts w:ascii="Arial" w:hAnsi="Arial" w:cs="Arial"/>
            <w:noProof/>
          </w:rPr>
          <w:t>Retirement benefits</w:t>
        </w:r>
        <w:r w:rsidRPr="009622FC">
          <w:rPr>
            <w:rFonts w:ascii="Arial" w:hAnsi="Arial" w:cs="Arial"/>
            <w:noProof/>
            <w:webHidden/>
          </w:rPr>
          <w:tab/>
        </w:r>
        <w:r w:rsidRPr="009622FC">
          <w:rPr>
            <w:rFonts w:ascii="Arial" w:hAnsi="Arial" w:cs="Arial"/>
            <w:noProof/>
            <w:webHidden/>
          </w:rPr>
          <w:fldChar w:fldCharType="begin"/>
        </w:r>
        <w:r w:rsidRPr="009622FC">
          <w:rPr>
            <w:rFonts w:ascii="Arial" w:hAnsi="Arial" w:cs="Arial"/>
            <w:noProof/>
            <w:webHidden/>
          </w:rPr>
          <w:instrText xml:space="preserve"> PAGEREF _Toc109742779 \h </w:instrText>
        </w:r>
        <w:r w:rsidRPr="009622FC">
          <w:rPr>
            <w:rFonts w:ascii="Arial" w:hAnsi="Arial" w:cs="Arial"/>
            <w:noProof/>
            <w:webHidden/>
          </w:rPr>
        </w:r>
        <w:r w:rsidRPr="009622FC">
          <w:rPr>
            <w:rFonts w:ascii="Arial" w:hAnsi="Arial" w:cs="Arial"/>
            <w:noProof/>
            <w:webHidden/>
          </w:rPr>
          <w:fldChar w:fldCharType="separate"/>
        </w:r>
        <w:r w:rsidR="00865467">
          <w:rPr>
            <w:rFonts w:ascii="Arial" w:hAnsi="Arial" w:cs="Arial"/>
            <w:noProof/>
            <w:webHidden/>
          </w:rPr>
          <w:t>7</w:t>
        </w:r>
        <w:r w:rsidRPr="009622FC">
          <w:rPr>
            <w:rFonts w:ascii="Arial" w:hAnsi="Arial" w:cs="Arial"/>
            <w:noProof/>
            <w:webHidden/>
          </w:rPr>
          <w:fldChar w:fldCharType="end"/>
        </w:r>
      </w:hyperlink>
    </w:p>
    <w:p w14:paraId="17AB972B" w14:textId="27994A0B" w:rsidR="009622FC" w:rsidRPr="009622FC" w:rsidRDefault="009622FC" w:rsidP="00E23909">
      <w:pPr>
        <w:pStyle w:val="TOC1"/>
        <w:tabs>
          <w:tab w:val="left" w:pos="440"/>
          <w:tab w:val="right" w:leader="dot" w:pos="9016"/>
        </w:tabs>
        <w:spacing w:after="0" w:line="360" w:lineRule="auto"/>
        <w:ind w:firstLine="0"/>
        <w:rPr>
          <w:rFonts w:ascii="Arial" w:hAnsi="Arial" w:cs="Arial"/>
          <w:noProof/>
        </w:rPr>
      </w:pPr>
      <w:hyperlink w:anchor="_Toc109742780" w:history="1">
        <w:r w:rsidRPr="009622FC">
          <w:rPr>
            <w:rStyle w:val="Hyperlink"/>
            <w:rFonts w:ascii="Arial" w:hAnsi="Arial" w:cs="Arial"/>
            <w:noProof/>
          </w:rPr>
          <w:t>7.</w:t>
        </w:r>
        <w:r w:rsidRPr="009622FC">
          <w:rPr>
            <w:rFonts w:ascii="Arial" w:hAnsi="Arial" w:cs="Arial"/>
            <w:noProof/>
          </w:rPr>
          <w:tab/>
        </w:r>
        <w:r w:rsidRPr="009622FC">
          <w:rPr>
            <w:rStyle w:val="Hyperlink"/>
            <w:rFonts w:ascii="Arial" w:hAnsi="Arial" w:cs="Arial"/>
            <w:noProof/>
          </w:rPr>
          <w:t>Contribution increases</w:t>
        </w:r>
        <w:r w:rsidRPr="009622FC">
          <w:rPr>
            <w:rFonts w:ascii="Arial" w:hAnsi="Arial" w:cs="Arial"/>
            <w:noProof/>
            <w:webHidden/>
          </w:rPr>
          <w:tab/>
        </w:r>
        <w:r w:rsidRPr="009622FC">
          <w:rPr>
            <w:rFonts w:ascii="Arial" w:hAnsi="Arial" w:cs="Arial"/>
            <w:noProof/>
            <w:webHidden/>
          </w:rPr>
          <w:fldChar w:fldCharType="begin"/>
        </w:r>
        <w:r w:rsidRPr="009622FC">
          <w:rPr>
            <w:rFonts w:ascii="Arial" w:hAnsi="Arial" w:cs="Arial"/>
            <w:noProof/>
            <w:webHidden/>
          </w:rPr>
          <w:instrText xml:space="preserve"> PAGEREF _Toc109742780 \h </w:instrText>
        </w:r>
        <w:r w:rsidRPr="009622FC">
          <w:rPr>
            <w:rFonts w:ascii="Arial" w:hAnsi="Arial" w:cs="Arial"/>
            <w:noProof/>
            <w:webHidden/>
          </w:rPr>
        </w:r>
        <w:r w:rsidRPr="009622FC">
          <w:rPr>
            <w:rFonts w:ascii="Arial" w:hAnsi="Arial" w:cs="Arial"/>
            <w:noProof/>
            <w:webHidden/>
          </w:rPr>
          <w:fldChar w:fldCharType="separate"/>
        </w:r>
        <w:r w:rsidR="00865467">
          <w:rPr>
            <w:rFonts w:ascii="Arial" w:hAnsi="Arial" w:cs="Arial"/>
            <w:noProof/>
            <w:webHidden/>
          </w:rPr>
          <w:t>7</w:t>
        </w:r>
        <w:r w:rsidRPr="009622FC">
          <w:rPr>
            <w:rFonts w:ascii="Arial" w:hAnsi="Arial" w:cs="Arial"/>
            <w:noProof/>
            <w:webHidden/>
          </w:rPr>
          <w:fldChar w:fldCharType="end"/>
        </w:r>
      </w:hyperlink>
    </w:p>
    <w:p w14:paraId="2CD300C6" w14:textId="0E4E0BAB" w:rsidR="009622FC" w:rsidRPr="009622FC" w:rsidRDefault="009622FC" w:rsidP="00E23909">
      <w:pPr>
        <w:pStyle w:val="TOC1"/>
        <w:tabs>
          <w:tab w:val="left" w:pos="440"/>
          <w:tab w:val="right" w:leader="dot" w:pos="9016"/>
        </w:tabs>
        <w:spacing w:after="0" w:line="360" w:lineRule="auto"/>
        <w:ind w:firstLine="0"/>
        <w:rPr>
          <w:rFonts w:ascii="Arial" w:hAnsi="Arial" w:cs="Arial"/>
          <w:noProof/>
        </w:rPr>
      </w:pPr>
      <w:hyperlink w:anchor="_Toc109742781" w:history="1">
        <w:r w:rsidRPr="009622FC">
          <w:rPr>
            <w:rStyle w:val="Hyperlink"/>
            <w:rFonts w:ascii="Arial" w:hAnsi="Arial" w:cs="Arial"/>
            <w:noProof/>
          </w:rPr>
          <w:t>8.</w:t>
        </w:r>
        <w:r w:rsidRPr="009622FC">
          <w:rPr>
            <w:rFonts w:ascii="Arial" w:hAnsi="Arial" w:cs="Arial"/>
            <w:noProof/>
          </w:rPr>
          <w:tab/>
        </w:r>
        <w:r w:rsidRPr="009622FC">
          <w:rPr>
            <w:rStyle w:val="Hyperlink"/>
            <w:rFonts w:ascii="Arial" w:hAnsi="Arial" w:cs="Arial"/>
            <w:noProof/>
          </w:rPr>
          <w:t>Annuity rates</w:t>
        </w:r>
        <w:r w:rsidRPr="009622FC">
          <w:rPr>
            <w:rFonts w:ascii="Arial" w:hAnsi="Arial" w:cs="Arial"/>
            <w:noProof/>
            <w:webHidden/>
          </w:rPr>
          <w:tab/>
        </w:r>
        <w:r w:rsidRPr="009622FC">
          <w:rPr>
            <w:rFonts w:ascii="Arial" w:hAnsi="Arial" w:cs="Arial"/>
            <w:noProof/>
            <w:webHidden/>
          </w:rPr>
          <w:fldChar w:fldCharType="begin"/>
        </w:r>
        <w:r w:rsidRPr="009622FC">
          <w:rPr>
            <w:rFonts w:ascii="Arial" w:hAnsi="Arial" w:cs="Arial"/>
            <w:noProof/>
            <w:webHidden/>
          </w:rPr>
          <w:instrText xml:space="preserve"> PAGEREF _Toc109742781 \h </w:instrText>
        </w:r>
        <w:r w:rsidRPr="009622FC">
          <w:rPr>
            <w:rFonts w:ascii="Arial" w:hAnsi="Arial" w:cs="Arial"/>
            <w:noProof/>
            <w:webHidden/>
          </w:rPr>
        </w:r>
        <w:r w:rsidRPr="009622FC">
          <w:rPr>
            <w:rFonts w:ascii="Arial" w:hAnsi="Arial" w:cs="Arial"/>
            <w:noProof/>
            <w:webHidden/>
          </w:rPr>
          <w:fldChar w:fldCharType="separate"/>
        </w:r>
        <w:r w:rsidR="00865467">
          <w:rPr>
            <w:rFonts w:ascii="Arial" w:hAnsi="Arial" w:cs="Arial"/>
            <w:noProof/>
            <w:webHidden/>
          </w:rPr>
          <w:t>8</w:t>
        </w:r>
        <w:r w:rsidRPr="009622FC">
          <w:rPr>
            <w:rFonts w:ascii="Arial" w:hAnsi="Arial" w:cs="Arial"/>
            <w:noProof/>
            <w:webHidden/>
          </w:rPr>
          <w:fldChar w:fldCharType="end"/>
        </w:r>
      </w:hyperlink>
    </w:p>
    <w:p w14:paraId="35D16F97" w14:textId="38B31324" w:rsidR="009622FC" w:rsidRPr="009622FC" w:rsidRDefault="009622FC" w:rsidP="00E23909">
      <w:pPr>
        <w:pStyle w:val="TOC1"/>
        <w:tabs>
          <w:tab w:val="left" w:pos="440"/>
          <w:tab w:val="right" w:leader="dot" w:pos="9016"/>
        </w:tabs>
        <w:spacing w:after="0" w:line="360" w:lineRule="auto"/>
        <w:ind w:firstLine="0"/>
        <w:rPr>
          <w:rFonts w:ascii="Arial" w:hAnsi="Arial" w:cs="Arial"/>
          <w:noProof/>
        </w:rPr>
      </w:pPr>
      <w:hyperlink w:anchor="_Toc109742782" w:history="1">
        <w:r w:rsidRPr="009622FC">
          <w:rPr>
            <w:rStyle w:val="Hyperlink"/>
            <w:rFonts w:ascii="Arial" w:hAnsi="Arial" w:cs="Arial"/>
            <w:noProof/>
          </w:rPr>
          <w:t>9.</w:t>
        </w:r>
        <w:r w:rsidRPr="009622FC">
          <w:rPr>
            <w:rFonts w:ascii="Arial" w:hAnsi="Arial" w:cs="Arial"/>
            <w:noProof/>
          </w:rPr>
          <w:tab/>
        </w:r>
        <w:r w:rsidRPr="009622FC">
          <w:rPr>
            <w:rStyle w:val="Hyperlink"/>
            <w:rFonts w:ascii="Arial" w:hAnsi="Arial" w:cs="Arial"/>
            <w:noProof/>
          </w:rPr>
          <w:t>Projected deductions for the cost of protection benefits</w:t>
        </w:r>
        <w:r w:rsidRPr="009622FC">
          <w:rPr>
            <w:rFonts w:ascii="Arial" w:hAnsi="Arial" w:cs="Arial"/>
            <w:noProof/>
            <w:webHidden/>
          </w:rPr>
          <w:tab/>
        </w:r>
        <w:r w:rsidRPr="009622FC">
          <w:rPr>
            <w:rFonts w:ascii="Arial" w:hAnsi="Arial" w:cs="Arial"/>
            <w:noProof/>
            <w:webHidden/>
          </w:rPr>
          <w:fldChar w:fldCharType="begin"/>
        </w:r>
        <w:r w:rsidRPr="009622FC">
          <w:rPr>
            <w:rFonts w:ascii="Arial" w:hAnsi="Arial" w:cs="Arial"/>
            <w:noProof/>
            <w:webHidden/>
          </w:rPr>
          <w:instrText xml:space="preserve"> PAGEREF _Toc109742782 \h </w:instrText>
        </w:r>
        <w:r w:rsidRPr="009622FC">
          <w:rPr>
            <w:rFonts w:ascii="Arial" w:hAnsi="Arial" w:cs="Arial"/>
            <w:noProof/>
            <w:webHidden/>
          </w:rPr>
        </w:r>
        <w:r w:rsidRPr="009622FC">
          <w:rPr>
            <w:rFonts w:ascii="Arial" w:hAnsi="Arial" w:cs="Arial"/>
            <w:noProof/>
            <w:webHidden/>
          </w:rPr>
          <w:fldChar w:fldCharType="separate"/>
        </w:r>
        <w:r w:rsidR="00865467">
          <w:rPr>
            <w:rFonts w:ascii="Arial" w:hAnsi="Arial" w:cs="Arial"/>
            <w:noProof/>
            <w:webHidden/>
          </w:rPr>
          <w:t>9</w:t>
        </w:r>
        <w:r w:rsidRPr="009622FC">
          <w:rPr>
            <w:rFonts w:ascii="Arial" w:hAnsi="Arial" w:cs="Arial"/>
            <w:noProof/>
            <w:webHidden/>
          </w:rPr>
          <w:fldChar w:fldCharType="end"/>
        </w:r>
      </w:hyperlink>
    </w:p>
    <w:p w14:paraId="3EB2CE85" w14:textId="0A74F344" w:rsidR="009622FC" w:rsidRPr="009622FC" w:rsidRDefault="009622FC" w:rsidP="00E23909">
      <w:pPr>
        <w:pStyle w:val="TOC1"/>
        <w:tabs>
          <w:tab w:val="left" w:pos="660"/>
          <w:tab w:val="right" w:leader="dot" w:pos="9016"/>
        </w:tabs>
        <w:spacing w:after="0" w:line="360" w:lineRule="auto"/>
        <w:ind w:firstLine="0"/>
        <w:rPr>
          <w:rFonts w:ascii="Arial" w:hAnsi="Arial" w:cs="Arial"/>
          <w:noProof/>
        </w:rPr>
      </w:pPr>
      <w:hyperlink w:anchor="_Toc109742783" w:history="1">
        <w:r w:rsidRPr="009622FC">
          <w:rPr>
            <w:rStyle w:val="Hyperlink"/>
            <w:rFonts w:ascii="Arial" w:hAnsi="Arial" w:cs="Arial"/>
            <w:noProof/>
          </w:rPr>
          <w:t>10.</w:t>
        </w:r>
        <w:r>
          <w:rPr>
            <w:rStyle w:val="Hyperlink"/>
            <w:rFonts w:ascii="Arial" w:hAnsi="Arial" w:cs="Arial"/>
            <w:noProof/>
          </w:rPr>
          <w:t xml:space="preserve">  </w:t>
        </w:r>
        <w:r w:rsidRPr="009622FC">
          <w:rPr>
            <w:rStyle w:val="Hyperlink"/>
            <w:rFonts w:ascii="Arial" w:hAnsi="Arial" w:cs="Arial"/>
            <w:noProof/>
          </w:rPr>
          <w:t>Projected deductions to cover expenses and charges</w:t>
        </w:r>
        <w:r w:rsidRPr="009622FC">
          <w:rPr>
            <w:rFonts w:ascii="Arial" w:hAnsi="Arial" w:cs="Arial"/>
            <w:noProof/>
            <w:webHidden/>
          </w:rPr>
          <w:tab/>
        </w:r>
        <w:r w:rsidRPr="009622FC">
          <w:rPr>
            <w:rFonts w:ascii="Arial" w:hAnsi="Arial" w:cs="Arial"/>
            <w:noProof/>
            <w:webHidden/>
          </w:rPr>
          <w:fldChar w:fldCharType="begin"/>
        </w:r>
        <w:r w:rsidRPr="009622FC">
          <w:rPr>
            <w:rFonts w:ascii="Arial" w:hAnsi="Arial" w:cs="Arial"/>
            <w:noProof/>
            <w:webHidden/>
          </w:rPr>
          <w:instrText xml:space="preserve"> PAGEREF _Toc109742783 \h </w:instrText>
        </w:r>
        <w:r w:rsidRPr="009622FC">
          <w:rPr>
            <w:rFonts w:ascii="Arial" w:hAnsi="Arial" w:cs="Arial"/>
            <w:noProof/>
            <w:webHidden/>
          </w:rPr>
        </w:r>
        <w:r w:rsidRPr="009622FC">
          <w:rPr>
            <w:rFonts w:ascii="Arial" w:hAnsi="Arial" w:cs="Arial"/>
            <w:noProof/>
            <w:webHidden/>
          </w:rPr>
          <w:fldChar w:fldCharType="separate"/>
        </w:r>
        <w:r w:rsidR="00865467">
          <w:rPr>
            <w:rFonts w:ascii="Arial" w:hAnsi="Arial" w:cs="Arial"/>
            <w:noProof/>
            <w:webHidden/>
          </w:rPr>
          <w:t>10</w:t>
        </w:r>
        <w:r w:rsidRPr="009622FC">
          <w:rPr>
            <w:rFonts w:ascii="Arial" w:hAnsi="Arial" w:cs="Arial"/>
            <w:noProof/>
            <w:webHidden/>
          </w:rPr>
          <w:fldChar w:fldCharType="end"/>
        </w:r>
      </w:hyperlink>
    </w:p>
    <w:p w14:paraId="6CA995E9" w14:textId="321779A7" w:rsidR="009622FC" w:rsidRPr="009622FC" w:rsidRDefault="009622FC" w:rsidP="00E23909">
      <w:pPr>
        <w:pStyle w:val="TOC1"/>
        <w:tabs>
          <w:tab w:val="left" w:pos="660"/>
          <w:tab w:val="right" w:leader="dot" w:pos="9016"/>
        </w:tabs>
        <w:spacing w:after="0" w:line="360" w:lineRule="auto"/>
        <w:ind w:firstLine="0"/>
        <w:rPr>
          <w:rFonts w:ascii="Arial" w:hAnsi="Arial" w:cs="Arial"/>
          <w:noProof/>
        </w:rPr>
      </w:pPr>
      <w:hyperlink w:anchor="_Toc109742784" w:history="1">
        <w:r w:rsidRPr="009622FC">
          <w:rPr>
            <w:rStyle w:val="Hyperlink"/>
            <w:rFonts w:ascii="Arial" w:hAnsi="Arial" w:cs="Arial"/>
            <w:noProof/>
          </w:rPr>
          <w:t>11.</w:t>
        </w:r>
        <w:r>
          <w:rPr>
            <w:rStyle w:val="Hyperlink"/>
            <w:rFonts w:ascii="Arial" w:hAnsi="Arial" w:cs="Arial"/>
            <w:noProof/>
          </w:rPr>
          <w:t xml:space="preserve">  </w:t>
        </w:r>
        <w:r w:rsidRPr="009622FC">
          <w:rPr>
            <w:rStyle w:val="Hyperlink"/>
            <w:rFonts w:ascii="Arial" w:hAnsi="Arial" w:cs="Arial"/>
            <w:noProof/>
          </w:rPr>
          <w:t>Additional information and/or adjusted methodology may be required</w:t>
        </w:r>
        <w:r w:rsidRPr="009622FC">
          <w:rPr>
            <w:rFonts w:ascii="Arial" w:hAnsi="Arial" w:cs="Arial"/>
            <w:noProof/>
            <w:webHidden/>
          </w:rPr>
          <w:tab/>
        </w:r>
        <w:r w:rsidRPr="009622FC">
          <w:rPr>
            <w:rFonts w:ascii="Arial" w:hAnsi="Arial" w:cs="Arial"/>
            <w:noProof/>
            <w:webHidden/>
          </w:rPr>
          <w:fldChar w:fldCharType="begin"/>
        </w:r>
        <w:r w:rsidRPr="009622FC">
          <w:rPr>
            <w:rFonts w:ascii="Arial" w:hAnsi="Arial" w:cs="Arial"/>
            <w:noProof/>
            <w:webHidden/>
          </w:rPr>
          <w:instrText xml:space="preserve"> PAGEREF _Toc109742784 \h </w:instrText>
        </w:r>
        <w:r w:rsidRPr="009622FC">
          <w:rPr>
            <w:rFonts w:ascii="Arial" w:hAnsi="Arial" w:cs="Arial"/>
            <w:noProof/>
            <w:webHidden/>
          </w:rPr>
        </w:r>
        <w:r w:rsidRPr="009622FC">
          <w:rPr>
            <w:rFonts w:ascii="Arial" w:hAnsi="Arial" w:cs="Arial"/>
            <w:noProof/>
            <w:webHidden/>
          </w:rPr>
          <w:fldChar w:fldCharType="separate"/>
        </w:r>
        <w:r w:rsidR="00865467">
          <w:rPr>
            <w:rFonts w:ascii="Arial" w:hAnsi="Arial" w:cs="Arial"/>
            <w:noProof/>
            <w:webHidden/>
          </w:rPr>
          <w:t>12</w:t>
        </w:r>
        <w:r w:rsidRPr="009622FC">
          <w:rPr>
            <w:rFonts w:ascii="Arial" w:hAnsi="Arial" w:cs="Arial"/>
            <w:noProof/>
            <w:webHidden/>
          </w:rPr>
          <w:fldChar w:fldCharType="end"/>
        </w:r>
      </w:hyperlink>
    </w:p>
    <w:p w14:paraId="40E9046E" w14:textId="0436ACD0" w:rsidR="009622FC" w:rsidRPr="009622FC" w:rsidRDefault="009622FC" w:rsidP="00E23909">
      <w:pPr>
        <w:pStyle w:val="TOC1"/>
        <w:tabs>
          <w:tab w:val="right" w:leader="dot" w:pos="9016"/>
        </w:tabs>
        <w:spacing w:after="0" w:line="360" w:lineRule="auto"/>
        <w:ind w:firstLine="0"/>
        <w:rPr>
          <w:rFonts w:ascii="Arial" w:hAnsi="Arial" w:cs="Arial"/>
          <w:noProof/>
        </w:rPr>
      </w:pPr>
      <w:hyperlink w:anchor="_Toc109742785" w:history="1">
        <w:r w:rsidRPr="009622FC">
          <w:rPr>
            <w:rStyle w:val="Hyperlink"/>
            <w:rFonts w:ascii="Arial" w:hAnsi="Arial" w:cs="Arial"/>
            <w:noProof/>
          </w:rPr>
          <w:t>Explanatory note</w:t>
        </w:r>
        <w:r w:rsidRPr="009622FC">
          <w:rPr>
            <w:rFonts w:ascii="Arial" w:hAnsi="Arial" w:cs="Arial"/>
            <w:noProof/>
            <w:webHidden/>
          </w:rPr>
          <w:tab/>
        </w:r>
        <w:r w:rsidRPr="009622FC">
          <w:rPr>
            <w:rFonts w:ascii="Arial" w:hAnsi="Arial" w:cs="Arial"/>
            <w:noProof/>
            <w:webHidden/>
          </w:rPr>
          <w:fldChar w:fldCharType="begin"/>
        </w:r>
        <w:r w:rsidRPr="009622FC">
          <w:rPr>
            <w:rFonts w:ascii="Arial" w:hAnsi="Arial" w:cs="Arial"/>
            <w:noProof/>
            <w:webHidden/>
          </w:rPr>
          <w:instrText xml:space="preserve"> PAGEREF _Toc109742785 \h </w:instrText>
        </w:r>
        <w:r w:rsidRPr="009622FC">
          <w:rPr>
            <w:rFonts w:ascii="Arial" w:hAnsi="Arial" w:cs="Arial"/>
            <w:noProof/>
            <w:webHidden/>
          </w:rPr>
        </w:r>
        <w:r w:rsidRPr="009622FC">
          <w:rPr>
            <w:rFonts w:ascii="Arial" w:hAnsi="Arial" w:cs="Arial"/>
            <w:noProof/>
            <w:webHidden/>
          </w:rPr>
          <w:fldChar w:fldCharType="separate"/>
        </w:r>
        <w:r w:rsidR="00865467">
          <w:rPr>
            <w:rFonts w:ascii="Arial" w:hAnsi="Arial" w:cs="Arial"/>
            <w:noProof/>
            <w:webHidden/>
          </w:rPr>
          <w:t>14</w:t>
        </w:r>
        <w:r w:rsidRPr="009622FC">
          <w:rPr>
            <w:rFonts w:ascii="Arial" w:hAnsi="Arial" w:cs="Arial"/>
            <w:noProof/>
            <w:webHidden/>
          </w:rPr>
          <w:fldChar w:fldCharType="end"/>
        </w:r>
      </w:hyperlink>
    </w:p>
    <w:p w14:paraId="33C2EF7E" w14:textId="465BC24F" w:rsidR="00650B05" w:rsidRPr="003137EA" w:rsidRDefault="009622FC" w:rsidP="009622FC">
      <w:pPr>
        <w:spacing w:after="0"/>
        <w:ind w:left="0" w:firstLine="0"/>
        <w:rPr>
          <w:rFonts w:ascii="Arial" w:hAnsi="Arial" w:cs="Arial"/>
          <w:szCs w:val="24"/>
        </w:rPr>
      </w:pPr>
      <w:r w:rsidRPr="009622FC">
        <w:rPr>
          <w:rFonts w:ascii="Arial" w:hAnsi="Arial" w:cs="Arial"/>
          <w:szCs w:val="24"/>
        </w:rPr>
        <w:fldChar w:fldCharType="end"/>
      </w:r>
    </w:p>
    <w:p w14:paraId="783153BC" w14:textId="176656F3" w:rsidR="00650B05" w:rsidRPr="003137EA" w:rsidRDefault="00650B05" w:rsidP="00650B05">
      <w:pPr>
        <w:spacing w:after="0"/>
        <w:rPr>
          <w:rFonts w:ascii="Arial" w:hAnsi="Arial" w:cs="Arial"/>
          <w:szCs w:val="24"/>
        </w:rPr>
      </w:pPr>
    </w:p>
    <w:p w14:paraId="4C22614C" w14:textId="5DFB8337" w:rsidR="00650B05" w:rsidRPr="003137EA" w:rsidRDefault="00650B05" w:rsidP="00650B05">
      <w:pPr>
        <w:spacing w:after="0"/>
        <w:rPr>
          <w:rFonts w:ascii="Arial" w:hAnsi="Arial" w:cs="Arial"/>
          <w:szCs w:val="24"/>
        </w:rPr>
      </w:pPr>
    </w:p>
    <w:p w14:paraId="14E5B052" w14:textId="4AA9FD60" w:rsidR="00650B05" w:rsidRPr="003137EA" w:rsidRDefault="00650B05" w:rsidP="00650B05">
      <w:pPr>
        <w:spacing w:after="0"/>
        <w:rPr>
          <w:rFonts w:ascii="Arial" w:hAnsi="Arial" w:cs="Arial"/>
          <w:szCs w:val="24"/>
        </w:rPr>
      </w:pPr>
    </w:p>
    <w:p w14:paraId="57A575E8" w14:textId="77777777" w:rsidR="003915E3" w:rsidRPr="003137EA" w:rsidRDefault="003915E3" w:rsidP="00650B05">
      <w:pPr>
        <w:spacing w:after="0"/>
        <w:rPr>
          <w:rFonts w:ascii="Arial" w:hAnsi="Arial" w:cs="Arial"/>
          <w:b/>
          <w:bCs/>
          <w:sz w:val="32"/>
          <w:szCs w:val="32"/>
        </w:rPr>
        <w:sectPr w:rsidR="003915E3" w:rsidRPr="003137EA" w:rsidSect="00650B05">
          <w:footerReference w:type="default" r:id="rId12"/>
          <w:pgSz w:w="11906" w:h="16838"/>
          <w:pgMar w:top="1440" w:right="1440" w:bottom="1440" w:left="1440" w:header="708" w:footer="708" w:gutter="0"/>
          <w:cols w:space="708"/>
          <w:docGrid w:linePitch="360"/>
        </w:sectPr>
      </w:pPr>
    </w:p>
    <w:p w14:paraId="50CB120B" w14:textId="0650FA3B" w:rsidR="003915E3" w:rsidRPr="003137EA" w:rsidRDefault="003915E3" w:rsidP="00C34E03">
      <w:pPr>
        <w:pStyle w:val="Heading3"/>
        <w:ind w:left="709" w:hanging="709"/>
      </w:pPr>
      <w:bookmarkStart w:id="0" w:name="_Toc109742774"/>
      <w:r w:rsidRPr="003137EA">
        <w:lastRenderedPageBreak/>
        <w:t>I</w:t>
      </w:r>
      <w:r w:rsidR="00513D7D" w:rsidRPr="003137EA">
        <w:t>ntroduction</w:t>
      </w:r>
      <w:bookmarkEnd w:id="0"/>
    </w:p>
    <w:p w14:paraId="62873709" w14:textId="4AAC66F8"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1.1</w:t>
      </w:r>
      <w:r w:rsidRPr="003137EA">
        <w:rPr>
          <w:rFonts w:ascii="Arial" w:hAnsi="Arial" w:cs="Arial"/>
          <w:color w:val="auto"/>
          <w:szCs w:val="24"/>
        </w:rPr>
        <w:tab/>
        <w:t>Regulation 34 paragraph (1)(d) of the European Union (Occupational Pension Schemes) Regulation</w:t>
      </w:r>
      <w:r w:rsidR="000B6D49" w:rsidRPr="003137EA">
        <w:rPr>
          <w:rFonts w:ascii="Arial" w:hAnsi="Arial" w:cs="Arial"/>
          <w:color w:val="auto"/>
          <w:szCs w:val="24"/>
        </w:rPr>
        <w:t>s</w:t>
      </w:r>
      <w:r w:rsidR="009863C7">
        <w:rPr>
          <w:rFonts w:ascii="Arial" w:hAnsi="Arial" w:cs="Arial"/>
          <w:color w:val="auto"/>
          <w:szCs w:val="24"/>
        </w:rPr>
        <w:t>,</w:t>
      </w:r>
      <w:r w:rsidRPr="003137EA">
        <w:rPr>
          <w:rFonts w:ascii="Arial" w:hAnsi="Arial" w:cs="Arial"/>
          <w:color w:val="auto"/>
          <w:szCs w:val="24"/>
        </w:rPr>
        <w:t xml:space="preserve"> 2021</w:t>
      </w:r>
      <w:r w:rsidRPr="003137EA">
        <w:rPr>
          <w:rStyle w:val="FootnoteReference"/>
          <w:rFonts w:ascii="Arial" w:hAnsi="Arial" w:cs="Arial"/>
          <w:color w:val="auto"/>
          <w:szCs w:val="24"/>
        </w:rPr>
        <w:footnoteReference w:id="1"/>
      </w:r>
      <w:r w:rsidRPr="003137EA">
        <w:rPr>
          <w:rFonts w:ascii="Arial" w:hAnsi="Arial" w:cs="Arial"/>
          <w:color w:val="auto"/>
          <w:szCs w:val="24"/>
        </w:rPr>
        <w:t xml:space="preserve"> states –</w:t>
      </w:r>
      <w:r w:rsidR="00513D7D" w:rsidRPr="003137EA">
        <w:rPr>
          <w:rFonts w:ascii="Arial" w:hAnsi="Arial" w:cs="Arial"/>
          <w:color w:val="auto"/>
          <w:szCs w:val="24"/>
        </w:rPr>
        <w:t xml:space="preserve"> ‘</w:t>
      </w:r>
      <w:r w:rsidRPr="003137EA">
        <w:rPr>
          <w:rFonts w:ascii="Arial" w:hAnsi="Arial" w:cs="Arial"/>
          <w:i/>
          <w:iCs/>
          <w:color w:val="auto"/>
          <w:szCs w:val="24"/>
        </w:rPr>
        <w:t xml:space="preserve">The trustees of a scheme or trust RAC shall provide the following key information for members in the Pension Benefit Statement </w:t>
      </w:r>
      <w:r w:rsidR="000B6D49" w:rsidRPr="003137EA">
        <w:rPr>
          <w:rFonts w:ascii="Arial" w:hAnsi="Arial" w:cs="Arial"/>
          <w:i/>
          <w:iCs/>
          <w:color w:val="auto"/>
          <w:szCs w:val="24"/>
        </w:rPr>
        <w:t xml:space="preserve">– </w:t>
      </w:r>
      <w:r w:rsidRPr="003137EA">
        <w:rPr>
          <w:rFonts w:ascii="Arial" w:hAnsi="Arial" w:cs="Arial"/>
          <w:i/>
          <w:iCs/>
          <w:color w:val="auto"/>
          <w:szCs w:val="24"/>
        </w:rPr>
        <w:t>information on pension benefit projections based on the retirement age as specified in subparagraph (a), and a disclaimer that those projections may differ from the final value of the benefits received and, if the pension benefit projections are based on economic scenarios, that information shall also include a best estimate scenario and an unfavourable scenario, taking into consideration the specific nature of the scheme or trust RA</w:t>
      </w:r>
      <w:r w:rsidR="00513D7D" w:rsidRPr="003137EA">
        <w:rPr>
          <w:rFonts w:ascii="Arial" w:hAnsi="Arial" w:cs="Arial"/>
          <w:i/>
          <w:iCs/>
          <w:color w:val="auto"/>
          <w:szCs w:val="24"/>
        </w:rPr>
        <w:t>C</w:t>
      </w:r>
      <w:r w:rsidRPr="003137EA">
        <w:rPr>
          <w:rFonts w:ascii="Arial" w:hAnsi="Arial" w:cs="Arial"/>
          <w:color w:val="auto"/>
          <w:szCs w:val="24"/>
        </w:rPr>
        <w:t>.</w:t>
      </w:r>
      <w:r w:rsidR="005A76DA" w:rsidRPr="003137EA">
        <w:rPr>
          <w:rFonts w:ascii="Arial" w:hAnsi="Arial" w:cs="Arial"/>
          <w:color w:val="auto"/>
          <w:szCs w:val="24"/>
        </w:rPr>
        <w:t>’</w:t>
      </w:r>
    </w:p>
    <w:p w14:paraId="78574DBA" w14:textId="77777777" w:rsidR="003915E3" w:rsidRPr="003137EA" w:rsidRDefault="003915E3" w:rsidP="00C34E03">
      <w:pPr>
        <w:spacing w:after="0" w:line="276" w:lineRule="auto"/>
        <w:ind w:left="734" w:right="31"/>
        <w:rPr>
          <w:rFonts w:ascii="Arial" w:hAnsi="Arial" w:cs="Arial"/>
          <w:color w:val="auto"/>
          <w:szCs w:val="24"/>
        </w:rPr>
      </w:pPr>
    </w:p>
    <w:p w14:paraId="484DC345" w14:textId="481CA2A7"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1.2</w:t>
      </w:r>
      <w:r w:rsidRPr="003137EA">
        <w:rPr>
          <w:rFonts w:ascii="Arial" w:hAnsi="Arial" w:cs="Arial"/>
          <w:color w:val="auto"/>
          <w:szCs w:val="24"/>
        </w:rPr>
        <w:tab/>
        <w:t xml:space="preserve">While </w:t>
      </w:r>
      <w:r w:rsidR="005A76DA" w:rsidRPr="003137EA">
        <w:rPr>
          <w:rFonts w:ascii="Arial" w:hAnsi="Arial" w:cs="Arial"/>
          <w:color w:val="auto"/>
          <w:szCs w:val="24"/>
        </w:rPr>
        <w:t>r</w:t>
      </w:r>
      <w:r w:rsidRPr="003137EA">
        <w:rPr>
          <w:rFonts w:ascii="Arial" w:hAnsi="Arial" w:cs="Arial"/>
          <w:color w:val="auto"/>
          <w:szCs w:val="24"/>
        </w:rPr>
        <w:t xml:space="preserve">egulation 34 paragraph (4) states – </w:t>
      </w:r>
      <w:r w:rsidR="005A76DA" w:rsidRPr="003137EA">
        <w:rPr>
          <w:rFonts w:ascii="Arial" w:hAnsi="Arial" w:cs="Arial"/>
          <w:color w:val="auto"/>
          <w:szCs w:val="24"/>
        </w:rPr>
        <w:t>‘</w:t>
      </w:r>
      <w:r w:rsidRPr="003137EA">
        <w:rPr>
          <w:rFonts w:ascii="Arial" w:hAnsi="Arial" w:cs="Arial"/>
          <w:i/>
          <w:iCs/>
          <w:color w:val="auto"/>
          <w:szCs w:val="24"/>
        </w:rPr>
        <w:t>The Pensions Authority shall set out rules to determine the assumptions of the projections referred to in paragraph (1)(d)</w:t>
      </w:r>
      <w:r w:rsidR="005A76DA" w:rsidRPr="003137EA">
        <w:rPr>
          <w:rFonts w:ascii="Arial" w:hAnsi="Arial" w:cs="Arial"/>
          <w:i/>
          <w:iCs/>
          <w:color w:val="auto"/>
          <w:szCs w:val="24"/>
        </w:rPr>
        <w:t>.’</w:t>
      </w:r>
    </w:p>
    <w:p w14:paraId="6A48FAB7" w14:textId="77777777" w:rsidR="003915E3" w:rsidRPr="003137EA" w:rsidRDefault="003915E3" w:rsidP="00C34E03">
      <w:pPr>
        <w:spacing w:after="0" w:line="276" w:lineRule="auto"/>
        <w:ind w:left="734" w:right="31"/>
        <w:rPr>
          <w:rFonts w:ascii="Arial" w:hAnsi="Arial" w:cs="Arial"/>
          <w:color w:val="auto"/>
          <w:szCs w:val="24"/>
        </w:rPr>
      </w:pPr>
    </w:p>
    <w:p w14:paraId="0CC737B8" w14:textId="1074F2EB"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1.3</w:t>
      </w:r>
      <w:r w:rsidRPr="003137EA">
        <w:rPr>
          <w:rFonts w:ascii="Arial" w:hAnsi="Arial" w:cs="Arial"/>
          <w:color w:val="auto"/>
          <w:szCs w:val="24"/>
        </w:rPr>
        <w:tab/>
        <w:t xml:space="preserve">Further, </w:t>
      </w:r>
      <w:r w:rsidR="005A76DA" w:rsidRPr="003137EA">
        <w:rPr>
          <w:rFonts w:ascii="Arial" w:hAnsi="Arial" w:cs="Arial"/>
          <w:color w:val="auto"/>
          <w:szCs w:val="24"/>
        </w:rPr>
        <w:t>r</w:t>
      </w:r>
      <w:r w:rsidRPr="003137EA">
        <w:rPr>
          <w:rFonts w:ascii="Arial" w:hAnsi="Arial" w:cs="Arial"/>
          <w:color w:val="auto"/>
          <w:szCs w:val="24"/>
        </w:rPr>
        <w:t xml:space="preserve">egulation 34 paragraph (5) states – </w:t>
      </w:r>
      <w:r w:rsidR="005A76DA" w:rsidRPr="003137EA">
        <w:rPr>
          <w:rFonts w:ascii="Arial" w:hAnsi="Arial" w:cs="Arial"/>
          <w:color w:val="auto"/>
          <w:szCs w:val="24"/>
        </w:rPr>
        <w:t>‘</w:t>
      </w:r>
      <w:r w:rsidRPr="003137EA">
        <w:rPr>
          <w:rFonts w:ascii="Arial" w:hAnsi="Arial" w:cs="Arial"/>
          <w:i/>
          <w:iCs/>
          <w:color w:val="auto"/>
          <w:szCs w:val="24"/>
        </w:rPr>
        <w:t>The trustees of a scheme or trust RAC shall apply the rules referred to in paragraph (4) to determine, where relevant, the annual rate of nominal investment returns, the annual rate of inflation and the trend of future wages.</w:t>
      </w:r>
      <w:r w:rsidR="005A76DA" w:rsidRPr="003137EA">
        <w:rPr>
          <w:rFonts w:ascii="Arial" w:hAnsi="Arial" w:cs="Arial"/>
          <w:color w:val="auto"/>
          <w:szCs w:val="24"/>
        </w:rPr>
        <w:t>’</w:t>
      </w:r>
    </w:p>
    <w:p w14:paraId="51B13D46" w14:textId="77777777" w:rsidR="003915E3" w:rsidRPr="003137EA" w:rsidRDefault="003915E3" w:rsidP="00C34E03">
      <w:pPr>
        <w:spacing w:after="0" w:line="276" w:lineRule="auto"/>
        <w:ind w:left="734" w:right="31"/>
        <w:rPr>
          <w:rFonts w:ascii="Arial" w:hAnsi="Arial" w:cs="Arial"/>
          <w:color w:val="auto"/>
          <w:szCs w:val="24"/>
        </w:rPr>
      </w:pPr>
    </w:p>
    <w:p w14:paraId="17887F73" w14:textId="0B9B49C7"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 xml:space="preserve">1.4 </w:t>
      </w:r>
      <w:r w:rsidRPr="003137EA">
        <w:rPr>
          <w:rFonts w:ascii="Arial" w:hAnsi="Arial" w:cs="Arial"/>
          <w:color w:val="auto"/>
          <w:szCs w:val="24"/>
        </w:rPr>
        <w:tab/>
        <w:t xml:space="preserve">This guidance sets out the rules required by </w:t>
      </w:r>
      <w:r w:rsidR="005A76DA" w:rsidRPr="003137EA">
        <w:rPr>
          <w:rFonts w:ascii="Arial" w:hAnsi="Arial" w:cs="Arial"/>
          <w:color w:val="auto"/>
          <w:szCs w:val="24"/>
        </w:rPr>
        <w:t>r</w:t>
      </w:r>
      <w:r w:rsidRPr="003137EA">
        <w:rPr>
          <w:rFonts w:ascii="Arial" w:hAnsi="Arial" w:cs="Arial"/>
          <w:color w:val="auto"/>
          <w:szCs w:val="24"/>
        </w:rPr>
        <w:t>egulation 34 paragraph (4).</w:t>
      </w:r>
    </w:p>
    <w:p w14:paraId="6A8E0A29" w14:textId="77777777" w:rsidR="003915E3" w:rsidRPr="003137EA" w:rsidRDefault="003915E3" w:rsidP="00C34E03">
      <w:pPr>
        <w:spacing w:after="0" w:line="276" w:lineRule="auto"/>
        <w:ind w:left="734" w:right="31"/>
        <w:rPr>
          <w:rFonts w:ascii="Arial" w:hAnsi="Arial" w:cs="Arial"/>
          <w:color w:val="auto"/>
          <w:szCs w:val="24"/>
        </w:rPr>
      </w:pPr>
    </w:p>
    <w:p w14:paraId="6628A740" w14:textId="35845328"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 xml:space="preserve">1.5 </w:t>
      </w:r>
      <w:r w:rsidRPr="003137EA">
        <w:rPr>
          <w:rFonts w:ascii="Arial" w:hAnsi="Arial" w:cs="Arial"/>
          <w:color w:val="auto"/>
          <w:szCs w:val="24"/>
        </w:rPr>
        <w:tab/>
        <w:t xml:space="preserve">For the purposes of this document, </w:t>
      </w:r>
      <w:r w:rsidR="005A76DA" w:rsidRPr="003137EA">
        <w:rPr>
          <w:rFonts w:ascii="Arial" w:hAnsi="Arial" w:cs="Arial"/>
          <w:color w:val="auto"/>
          <w:szCs w:val="24"/>
        </w:rPr>
        <w:t>‘</w:t>
      </w:r>
      <w:r w:rsidRPr="003137EA">
        <w:rPr>
          <w:rFonts w:ascii="Arial" w:hAnsi="Arial" w:cs="Arial"/>
          <w:color w:val="auto"/>
          <w:szCs w:val="24"/>
        </w:rPr>
        <w:t>schemes</w:t>
      </w:r>
      <w:r w:rsidR="005A76DA" w:rsidRPr="003137EA">
        <w:rPr>
          <w:rFonts w:ascii="Arial" w:hAnsi="Arial" w:cs="Arial"/>
          <w:color w:val="auto"/>
          <w:szCs w:val="24"/>
        </w:rPr>
        <w:t>’</w:t>
      </w:r>
      <w:r w:rsidRPr="003137EA">
        <w:rPr>
          <w:rFonts w:ascii="Arial" w:hAnsi="Arial" w:cs="Arial"/>
          <w:color w:val="auto"/>
          <w:szCs w:val="24"/>
        </w:rPr>
        <w:t xml:space="preserve"> is taken to encompass occupational pension schemes and trust RACs.</w:t>
      </w:r>
    </w:p>
    <w:p w14:paraId="40A532B8" w14:textId="77777777" w:rsidR="003915E3" w:rsidRPr="003137EA" w:rsidRDefault="003915E3" w:rsidP="00C34E03">
      <w:pPr>
        <w:spacing w:after="0" w:line="276" w:lineRule="auto"/>
        <w:ind w:left="734" w:right="31"/>
        <w:rPr>
          <w:rFonts w:ascii="Arial" w:hAnsi="Arial" w:cs="Arial"/>
          <w:color w:val="auto"/>
          <w:szCs w:val="24"/>
        </w:rPr>
      </w:pPr>
    </w:p>
    <w:p w14:paraId="1C9788F9" w14:textId="5B5FD83B" w:rsidR="003915E3" w:rsidRPr="00C34E03" w:rsidRDefault="003915E3" w:rsidP="00C34E03">
      <w:pPr>
        <w:pStyle w:val="ListParagraph"/>
        <w:numPr>
          <w:ilvl w:val="1"/>
          <w:numId w:val="16"/>
        </w:numPr>
        <w:spacing w:after="0" w:line="276" w:lineRule="auto"/>
        <w:ind w:right="31"/>
        <w:rPr>
          <w:rFonts w:ascii="Arial" w:hAnsi="Arial" w:cs="Arial"/>
          <w:color w:val="auto"/>
          <w:szCs w:val="24"/>
        </w:rPr>
      </w:pPr>
      <w:r w:rsidRPr="00C34E03">
        <w:rPr>
          <w:rFonts w:ascii="Arial" w:hAnsi="Arial" w:cs="Arial"/>
          <w:color w:val="auto"/>
          <w:szCs w:val="24"/>
        </w:rPr>
        <w:t xml:space="preserve">In unusual circumstances, where the methodology set out in the remainder of this guidance is not possible or not in the best interest of the scheme member, the Pensions Authority requires the trustees, as an element of good scheme governance, to satisfy themselves that the methodology actually used is appropriate and in the best interest of the member, on a </w:t>
      </w:r>
      <w:r w:rsidR="00AA2E53" w:rsidRPr="00C34E03">
        <w:rPr>
          <w:rFonts w:ascii="Arial" w:hAnsi="Arial" w:cs="Arial"/>
          <w:color w:val="auto"/>
          <w:szCs w:val="24"/>
        </w:rPr>
        <w:t>best-efforts</w:t>
      </w:r>
      <w:r w:rsidRPr="00C34E03">
        <w:rPr>
          <w:rFonts w:ascii="Arial" w:hAnsi="Arial" w:cs="Arial"/>
          <w:color w:val="auto"/>
          <w:szCs w:val="24"/>
        </w:rPr>
        <w:t xml:space="preserve"> basis.</w:t>
      </w:r>
    </w:p>
    <w:p w14:paraId="4BAB3842" w14:textId="77777777" w:rsidR="00C34E03" w:rsidRPr="003137EA" w:rsidRDefault="00C34E03" w:rsidP="00C34E03">
      <w:pPr>
        <w:spacing w:after="0" w:line="276" w:lineRule="auto"/>
        <w:ind w:left="734" w:right="31"/>
        <w:rPr>
          <w:rFonts w:ascii="Arial" w:hAnsi="Arial" w:cs="Arial"/>
          <w:color w:val="auto"/>
          <w:szCs w:val="24"/>
        </w:rPr>
      </w:pPr>
    </w:p>
    <w:p w14:paraId="4F300189" w14:textId="468DF4B5" w:rsidR="005A76DA" w:rsidRPr="003137EA" w:rsidRDefault="003915E3" w:rsidP="00C34E03">
      <w:pPr>
        <w:pStyle w:val="Heading3"/>
        <w:ind w:left="709" w:hanging="709"/>
      </w:pPr>
      <w:bookmarkStart w:id="1" w:name="_Toc109742775"/>
      <w:r w:rsidRPr="003137EA">
        <w:t>Scope of this guidance</w:t>
      </w:r>
      <w:bookmarkEnd w:id="1"/>
    </w:p>
    <w:p w14:paraId="68BD3379" w14:textId="13463C6B" w:rsidR="003915E3" w:rsidRPr="003137EA" w:rsidRDefault="003915E3" w:rsidP="00C34E03">
      <w:pPr>
        <w:spacing w:after="0" w:line="276" w:lineRule="auto"/>
        <w:ind w:left="709" w:hanging="692"/>
        <w:rPr>
          <w:rFonts w:ascii="Arial" w:hAnsi="Arial" w:cs="Arial"/>
          <w:color w:val="auto"/>
          <w:szCs w:val="24"/>
        </w:rPr>
      </w:pPr>
      <w:r w:rsidRPr="003137EA">
        <w:rPr>
          <w:rFonts w:ascii="Arial" w:hAnsi="Arial" w:cs="Arial"/>
          <w:color w:val="auto"/>
          <w:szCs w:val="24"/>
        </w:rPr>
        <w:t>2.1</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eastAsiaTheme="minorHAnsi" w:hAnsi="Arial" w:cs="Arial"/>
          <w:color w:val="auto"/>
          <w:szCs w:val="24"/>
          <w:lang w:eastAsia="en-US"/>
        </w:rPr>
        <w:t xml:space="preserve">This guidance sets out the principles in accordance with which the various parameters underlying the calculation of the projections required to be provided in a </w:t>
      </w:r>
      <w:r w:rsidR="00AA2E53">
        <w:rPr>
          <w:rFonts w:ascii="Arial" w:eastAsiaTheme="minorHAnsi" w:hAnsi="Arial" w:cs="Arial"/>
          <w:color w:val="auto"/>
          <w:szCs w:val="24"/>
          <w:lang w:eastAsia="en-US"/>
        </w:rPr>
        <w:t>p</w:t>
      </w:r>
      <w:r w:rsidRPr="003137EA">
        <w:rPr>
          <w:rFonts w:ascii="Arial" w:eastAsiaTheme="minorHAnsi" w:hAnsi="Arial" w:cs="Arial"/>
          <w:color w:val="auto"/>
          <w:szCs w:val="24"/>
          <w:lang w:eastAsia="en-US"/>
        </w:rPr>
        <w:t xml:space="preserve">ension </w:t>
      </w:r>
      <w:r w:rsidR="00AA2E53">
        <w:rPr>
          <w:rFonts w:ascii="Arial" w:eastAsiaTheme="minorHAnsi" w:hAnsi="Arial" w:cs="Arial"/>
          <w:color w:val="auto"/>
          <w:szCs w:val="24"/>
          <w:lang w:eastAsia="en-US"/>
        </w:rPr>
        <w:t>b</w:t>
      </w:r>
      <w:r w:rsidRPr="003137EA">
        <w:rPr>
          <w:rFonts w:ascii="Arial" w:eastAsiaTheme="minorHAnsi" w:hAnsi="Arial" w:cs="Arial"/>
          <w:color w:val="auto"/>
          <w:szCs w:val="24"/>
          <w:lang w:eastAsia="en-US"/>
        </w:rPr>
        <w:t xml:space="preserve">enefit </w:t>
      </w:r>
      <w:r w:rsidR="00AA2E53">
        <w:rPr>
          <w:rFonts w:ascii="Arial" w:eastAsiaTheme="minorHAnsi" w:hAnsi="Arial" w:cs="Arial"/>
          <w:color w:val="auto"/>
          <w:szCs w:val="24"/>
          <w:lang w:eastAsia="en-US"/>
        </w:rPr>
        <w:t>s</w:t>
      </w:r>
      <w:r w:rsidRPr="003137EA">
        <w:rPr>
          <w:rFonts w:ascii="Arial" w:eastAsiaTheme="minorHAnsi" w:hAnsi="Arial" w:cs="Arial"/>
          <w:color w:val="auto"/>
          <w:szCs w:val="24"/>
          <w:lang w:eastAsia="en-US"/>
        </w:rPr>
        <w:t>tatement</w:t>
      </w:r>
      <w:r w:rsidR="0016293A" w:rsidRPr="003137EA">
        <w:rPr>
          <w:rFonts w:ascii="Arial" w:eastAsiaTheme="minorHAnsi" w:hAnsi="Arial" w:cs="Arial"/>
          <w:color w:val="auto"/>
          <w:szCs w:val="24"/>
          <w:lang w:eastAsia="en-US"/>
        </w:rPr>
        <w:t xml:space="preserve"> (PBS)</w:t>
      </w:r>
      <w:r w:rsidRPr="003137EA">
        <w:rPr>
          <w:rFonts w:ascii="Arial" w:eastAsiaTheme="minorHAnsi" w:hAnsi="Arial" w:cs="Arial"/>
          <w:color w:val="auto"/>
          <w:szCs w:val="24"/>
          <w:lang w:eastAsia="en-US"/>
        </w:rPr>
        <w:t xml:space="preserve"> must be determined.</w:t>
      </w:r>
      <w:r w:rsidRPr="003137EA">
        <w:rPr>
          <w:rFonts w:ascii="Arial" w:hAnsi="Arial" w:cs="Arial"/>
          <w:color w:val="auto"/>
          <w:szCs w:val="24"/>
        </w:rPr>
        <w:t xml:space="preserve"> </w:t>
      </w:r>
    </w:p>
    <w:p w14:paraId="3D6C9C92" w14:textId="77777777" w:rsidR="003915E3" w:rsidRPr="003137EA" w:rsidRDefault="003915E3" w:rsidP="00C34E03">
      <w:pPr>
        <w:spacing w:after="0" w:line="276" w:lineRule="auto"/>
        <w:ind w:left="17" w:firstLine="0"/>
        <w:rPr>
          <w:rFonts w:ascii="Arial" w:hAnsi="Arial" w:cs="Arial"/>
          <w:color w:val="auto"/>
          <w:szCs w:val="24"/>
        </w:rPr>
      </w:pPr>
      <w:r w:rsidRPr="003137EA">
        <w:rPr>
          <w:rFonts w:ascii="Arial" w:hAnsi="Arial" w:cs="Arial"/>
          <w:color w:val="auto"/>
          <w:szCs w:val="24"/>
        </w:rPr>
        <w:t xml:space="preserve"> </w:t>
      </w:r>
    </w:p>
    <w:p w14:paraId="0ABF714C" w14:textId="77777777"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2.2</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The guidance has been prepared with the objective of providing illustrations of retirement benefits which are fair, clear and not misleading to scheme members. </w:t>
      </w:r>
    </w:p>
    <w:p w14:paraId="6D6A256E" w14:textId="77777777" w:rsidR="003915E3" w:rsidRPr="003137EA" w:rsidRDefault="003915E3" w:rsidP="00C34E03">
      <w:pPr>
        <w:spacing w:after="0" w:line="276" w:lineRule="auto"/>
        <w:ind w:left="17" w:firstLine="0"/>
        <w:rPr>
          <w:rFonts w:ascii="Arial" w:hAnsi="Arial" w:cs="Arial"/>
          <w:color w:val="auto"/>
          <w:szCs w:val="24"/>
        </w:rPr>
      </w:pPr>
      <w:r w:rsidRPr="003137EA">
        <w:rPr>
          <w:rFonts w:ascii="Arial" w:hAnsi="Arial" w:cs="Arial"/>
          <w:color w:val="auto"/>
          <w:szCs w:val="24"/>
        </w:rPr>
        <w:lastRenderedPageBreak/>
        <w:t xml:space="preserve"> </w:t>
      </w:r>
    </w:p>
    <w:p w14:paraId="1C2AEF57" w14:textId="42B13521" w:rsidR="003915E3" w:rsidRPr="003137EA" w:rsidRDefault="003915E3" w:rsidP="00C34E03">
      <w:pPr>
        <w:spacing w:after="0" w:line="276" w:lineRule="auto"/>
        <w:ind w:left="734" w:right="157"/>
        <w:rPr>
          <w:rFonts w:ascii="Arial" w:hAnsi="Arial" w:cs="Arial"/>
          <w:color w:val="auto"/>
          <w:szCs w:val="24"/>
        </w:rPr>
      </w:pPr>
      <w:r w:rsidRPr="003137EA">
        <w:rPr>
          <w:rFonts w:ascii="Arial" w:hAnsi="Arial" w:cs="Arial"/>
          <w:color w:val="auto"/>
          <w:szCs w:val="24"/>
        </w:rPr>
        <w:t>2.3</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For illustrations of retirement benefits in respect of with-profits contracts, both conventional and accumulating, provided by life assurance companies, and all other contracts where some or all of the charges may not be explicit, the charges for expenses and protection benefits must be determined in accordance with Part III of the Society of Actuaries in Ireland’s Actuarial Standard of Practice titled </w:t>
      </w:r>
      <w:r w:rsidR="00BF7712" w:rsidRPr="003137EA">
        <w:rPr>
          <w:rFonts w:ascii="Arial" w:hAnsi="Arial" w:cs="Arial"/>
          <w:color w:val="auto"/>
          <w:szCs w:val="24"/>
        </w:rPr>
        <w:t>‘</w:t>
      </w:r>
      <w:r w:rsidRPr="003137EA">
        <w:rPr>
          <w:rFonts w:ascii="Arial" w:hAnsi="Arial" w:cs="Arial"/>
          <w:color w:val="auto"/>
          <w:szCs w:val="24"/>
        </w:rPr>
        <w:t>Life Assurance Product Information</w:t>
      </w:r>
      <w:r w:rsidR="00BF7712" w:rsidRPr="003137EA">
        <w:rPr>
          <w:rFonts w:ascii="Arial" w:hAnsi="Arial" w:cs="Arial"/>
          <w:color w:val="auto"/>
          <w:szCs w:val="24"/>
        </w:rPr>
        <w:t>’</w:t>
      </w:r>
      <w:r w:rsidRPr="003137EA">
        <w:rPr>
          <w:rFonts w:ascii="Arial" w:hAnsi="Arial" w:cs="Arial"/>
          <w:color w:val="auto"/>
          <w:szCs w:val="24"/>
        </w:rPr>
        <w:t xml:space="preserve"> (ASP LA-8). </w:t>
      </w:r>
    </w:p>
    <w:p w14:paraId="362C922E" w14:textId="77777777" w:rsidR="003915E3" w:rsidRPr="003137EA" w:rsidRDefault="003915E3" w:rsidP="00C34E03">
      <w:pPr>
        <w:spacing w:after="0" w:line="276" w:lineRule="auto"/>
        <w:ind w:left="17" w:firstLine="0"/>
        <w:rPr>
          <w:rFonts w:ascii="Arial" w:hAnsi="Arial" w:cs="Arial"/>
          <w:color w:val="auto"/>
          <w:szCs w:val="24"/>
        </w:rPr>
      </w:pPr>
      <w:r w:rsidRPr="003137EA">
        <w:rPr>
          <w:rFonts w:ascii="Arial" w:hAnsi="Arial" w:cs="Arial"/>
          <w:color w:val="auto"/>
          <w:szCs w:val="24"/>
        </w:rPr>
        <w:t xml:space="preserve"> </w:t>
      </w:r>
    </w:p>
    <w:p w14:paraId="32215C28" w14:textId="193A5EAF" w:rsidR="003A3DF3" w:rsidRPr="003137EA" w:rsidRDefault="003915E3" w:rsidP="00C34E03">
      <w:pPr>
        <w:pStyle w:val="Heading3"/>
        <w:ind w:left="709" w:hanging="709"/>
      </w:pPr>
      <w:bookmarkStart w:id="2" w:name="_Toc109742776"/>
      <w:r w:rsidRPr="003137EA">
        <w:t>Projected retirement fund</w:t>
      </w:r>
      <w:bookmarkEnd w:id="2"/>
      <w:r w:rsidRPr="003137EA">
        <w:t xml:space="preserve"> </w:t>
      </w:r>
    </w:p>
    <w:p w14:paraId="0765F12E" w14:textId="1F9D25DB"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3.1</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A projected retirement fund determined for the purposes of a </w:t>
      </w:r>
      <w:r w:rsidR="0016293A" w:rsidRPr="003137EA">
        <w:rPr>
          <w:rFonts w:ascii="Arial" w:hAnsi="Arial" w:cs="Arial"/>
          <w:color w:val="auto"/>
          <w:szCs w:val="24"/>
        </w:rPr>
        <w:t>PBS</w:t>
      </w:r>
      <w:r w:rsidRPr="003137EA">
        <w:rPr>
          <w:rFonts w:ascii="Arial" w:hAnsi="Arial" w:cs="Arial"/>
          <w:color w:val="auto"/>
          <w:szCs w:val="24"/>
        </w:rPr>
        <w:t xml:space="preserve"> must be determined as the sum of the fund value at the effective date of the statement plus projected investment growth less projected total deductions to cover expenses and charges less projected deductions for the cost of protection benefits less, if </w:t>
      </w:r>
      <w:r w:rsidR="00B1005B">
        <w:rPr>
          <w:rFonts w:ascii="Arial" w:hAnsi="Arial" w:cs="Arial"/>
          <w:color w:val="auto"/>
          <w:szCs w:val="24"/>
        </w:rPr>
        <w:t>p</w:t>
      </w:r>
      <w:r w:rsidRPr="003137EA">
        <w:rPr>
          <w:rFonts w:ascii="Arial" w:hAnsi="Arial" w:cs="Arial"/>
          <w:color w:val="auto"/>
          <w:szCs w:val="24"/>
        </w:rPr>
        <w:t xml:space="preserve">aragraph 3.4(i)(a) applies, projected stamp duty or pension levy. </w:t>
      </w:r>
    </w:p>
    <w:p w14:paraId="6CE215D3" w14:textId="77777777" w:rsidR="003915E3" w:rsidRPr="003137EA" w:rsidRDefault="003915E3" w:rsidP="00C34E03">
      <w:pPr>
        <w:spacing w:after="0" w:line="276" w:lineRule="auto"/>
        <w:ind w:left="17" w:firstLine="0"/>
        <w:rPr>
          <w:rFonts w:ascii="Arial" w:hAnsi="Arial" w:cs="Arial"/>
          <w:color w:val="auto"/>
          <w:szCs w:val="24"/>
        </w:rPr>
      </w:pPr>
      <w:r w:rsidRPr="003137EA">
        <w:rPr>
          <w:rFonts w:ascii="Arial" w:hAnsi="Arial" w:cs="Arial"/>
          <w:color w:val="auto"/>
          <w:szCs w:val="24"/>
        </w:rPr>
        <w:t xml:space="preserve"> </w:t>
      </w:r>
    </w:p>
    <w:p w14:paraId="386C2E9F" w14:textId="217A9B95"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 xml:space="preserve">3.2 </w:t>
      </w:r>
      <w:r w:rsidRPr="003137EA">
        <w:rPr>
          <w:rFonts w:ascii="Arial" w:hAnsi="Arial" w:cs="Arial"/>
          <w:color w:val="auto"/>
          <w:szCs w:val="24"/>
        </w:rPr>
        <w:tab/>
        <w:t xml:space="preserve">For the purposes of this guidance, whenever a </w:t>
      </w:r>
      <w:r w:rsidR="0016293A" w:rsidRPr="003137EA">
        <w:rPr>
          <w:rFonts w:ascii="Arial" w:hAnsi="Arial" w:cs="Arial"/>
          <w:color w:val="auto"/>
          <w:szCs w:val="24"/>
        </w:rPr>
        <w:t>PBS</w:t>
      </w:r>
      <w:r w:rsidRPr="003137EA">
        <w:rPr>
          <w:rFonts w:ascii="Arial" w:hAnsi="Arial" w:cs="Arial"/>
          <w:color w:val="auto"/>
          <w:szCs w:val="24"/>
        </w:rPr>
        <w:t xml:space="preserve"> projection to retirement age of a member’s fund requires an assumption as regards future rates of investment return or rates of inflation or the future progress of wages, such a projection constitutes a projection based on economic scenarios.</w:t>
      </w:r>
    </w:p>
    <w:p w14:paraId="661C1BD7" w14:textId="77777777" w:rsidR="003915E3" w:rsidRPr="003137EA" w:rsidRDefault="003915E3" w:rsidP="00C34E03">
      <w:pPr>
        <w:spacing w:after="0" w:line="276" w:lineRule="auto"/>
        <w:ind w:left="19" w:firstLine="0"/>
        <w:rPr>
          <w:rFonts w:ascii="Arial" w:hAnsi="Arial" w:cs="Arial"/>
          <w:color w:val="auto"/>
          <w:szCs w:val="24"/>
        </w:rPr>
      </w:pPr>
    </w:p>
    <w:p w14:paraId="5F64EE21" w14:textId="7BB28FEE"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 xml:space="preserve">3.3 </w:t>
      </w:r>
      <w:r w:rsidRPr="003137EA">
        <w:rPr>
          <w:rFonts w:ascii="Arial" w:hAnsi="Arial" w:cs="Arial"/>
          <w:color w:val="auto"/>
          <w:szCs w:val="24"/>
        </w:rPr>
        <w:tab/>
        <w:t>Projected retirement funds must be determined allowing for the actual (e.g.</w:t>
      </w:r>
      <w:r w:rsidR="006720CB" w:rsidRPr="003137EA">
        <w:rPr>
          <w:rFonts w:ascii="Arial" w:hAnsi="Arial" w:cs="Arial"/>
          <w:color w:val="auto"/>
          <w:szCs w:val="24"/>
        </w:rPr>
        <w:t>,</w:t>
      </w:r>
      <w:r w:rsidRPr="003137EA">
        <w:rPr>
          <w:rFonts w:ascii="Arial" w:hAnsi="Arial" w:cs="Arial"/>
          <w:color w:val="auto"/>
          <w:szCs w:val="24"/>
        </w:rPr>
        <w:t xml:space="preserve"> monthly) timing of contribution receipts, investment growth and deductions to cover expenses, charges and, if </w:t>
      </w:r>
      <w:r w:rsidR="00B1005B">
        <w:rPr>
          <w:rFonts w:ascii="Arial" w:hAnsi="Arial" w:cs="Arial"/>
          <w:color w:val="auto"/>
          <w:szCs w:val="24"/>
        </w:rPr>
        <w:t>p</w:t>
      </w:r>
      <w:r w:rsidRPr="003137EA">
        <w:rPr>
          <w:rFonts w:ascii="Arial" w:hAnsi="Arial" w:cs="Arial"/>
          <w:color w:val="auto"/>
          <w:szCs w:val="24"/>
        </w:rPr>
        <w:t xml:space="preserve">aragraph 3.4(i)(a) applies, stamp duty or pension levy. The rate of investment return used for each month of the projection period must be determined in accordance with </w:t>
      </w:r>
      <w:r w:rsidR="00670847">
        <w:rPr>
          <w:rFonts w:ascii="Arial" w:hAnsi="Arial" w:cs="Arial"/>
          <w:color w:val="auto"/>
          <w:szCs w:val="24"/>
        </w:rPr>
        <w:t>s</w:t>
      </w:r>
      <w:r w:rsidRPr="003137EA">
        <w:rPr>
          <w:rFonts w:ascii="Arial" w:hAnsi="Arial" w:cs="Arial"/>
          <w:color w:val="auto"/>
          <w:szCs w:val="24"/>
        </w:rPr>
        <w:t xml:space="preserve">ection 4 of this guidance. </w:t>
      </w:r>
    </w:p>
    <w:p w14:paraId="3E105ED3"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1512A1A4" w14:textId="77777777"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3.4</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Where a stamp duty or pension levy is applicable to the market value of assets under management in a pension fund and where it is intended that the cost of such stamp duty or pension levy shall be met by making deductions from the assets of the pension fund: </w:t>
      </w:r>
    </w:p>
    <w:p w14:paraId="06CFD404"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6E056335" w14:textId="5C1E066F" w:rsidR="003915E3" w:rsidRPr="003137EA" w:rsidRDefault="003915E3" w:rsidP="00C34E03">
      <w:pPr>
        <w:numPr>
          <w:ilvl w:val="0"/>
          <w:numId w:val="2"/>
        </w:numPr>
        <w:spacing w:after="0" w:line="276" w:lineRule="auto"/>
        <w:ind w:left="1276" w:right="119" w:hanging="543"/>
        <w:rPr>
          <w:rFonts w:ascii="Arial" w:hAnsi="Arial" w:cs="Arial"/>
          <w:color w:val="auto"/>
          <w:szCs w:val="24"/>
        </w:rPr>
      </w:pPr>
      <w:r w:rsidRPr="003137EA">
        <w:rPr>
          <w:rFonts w:ascii="Arial" w:hAnsi="Arial" w:cs="Arial"/>
          <w:color w:val="auto"/>
          <w:szCs w:val="24"/>
        </w:rPr>
        <w:t xml:space="preserve">Information on the effect of the stamp duty or pension levy must be included in the </w:t>
      </w:r>
      <w:r w:rsidR="0016293A" w:rsidRPr="003137EA">
        <w:rPr>
          <w:rFonts w:ascii="Arial" w:hAnsi="Arial" w:cs="Arial"/>
          <w:color w:val="auto"/>
          <w:szCs w:val="24"/>
        </w:rPr>
        <w:t>PBS</w:t>
      </w:r>
      <w:r w:rsidRPr="003137EA">
        <w:rPr>
          <w:rFonts w:ascii="Arial" w:hAnsi="Arial" w:cs="Arial"/>
          <w:color w:val="auto"/>
          <w:szCs w:val="24"/>
        </w:rPr>
        <w:t xml:space="preserve"> in one of the following ways: </w:t>
      </w:r>
    </w:p>
    <w:p w14:paraId="5FBBEC93"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476FBB36" w14:textId="77777777" w:rsidR="003915E3" w:rsidRPr="003137EA" w:rsidRDefault="003915E3" w:rsidP="00C34E03">
      <w:pPr>
        <w:numPr>
          <w:ilvl w:val="2"/>
          <w:numId w:val="3"/>
        </w:numPr>
        <w:spacing w:after="0" w:line="276" w:lineRule="auto"/>
        <w:ind w:left="1843" w:right="86" w:hanging="567"/>
        <w:rPr>
          <w:rFonts w:ascii="Arial" w:hAnsi="Arial" w:cs="Arial"/>
          <w:color w:val="auto"/>
          <w:szCs w:val="24"/>
        </w:rPr>
      </w:pPr>
      <w:r w:rsidRPr="003137EA">
        <w:rPr>
          <w:rFonts w:ascii="Arial" w:hAnsi="Arial" w:cs="Arial"/>
          <w:color w:val="auto"/>
          <w:szCs w:val="24"/>
        </w:rPr>
        <w:t xml:space="preserve">Any duties or levies payable, from the date of the illustration until the end of the period for which the duty or levy must be applied, must be reflected in the projected retirement fund and an explanatory note must be provided with the projection; or </w:t>
      </w:r>
    </w:p>
    <w:p w14:paraId="246DF178" w14:textId="77777777" w:rsidR="003915E3" w:rsidRPr="003137EA" w:rsidRDefault="003915E3" w:rsidP="00C34E03">
      <w:pPr>
        <w:spacing w:after="0" w:line="276" w:lineRule="auto"/>
        <w:ind w:left="1843" w:hanging="567"/>
        <w:rPr>
          <w:rFonts w:ascii="Arial" w:hAnsi="Arial" w:cs="Arial"/>
          <w:color w:val="auto"/>
          <w:szCs w:val="24"/>
        </w:rPr>
      </w:pPr>
      <w:r w:rsidRPr="003137EA">
        <w:rPr>
          <w:rFonts w:ascii="Arial" w:hAnsi="Arial" w:cs="Arial"/>
          <w:color w:val="auto"/>
          <w:szCs w:val="24"/>
        </w:rPr>
        <w:t xml:space="preserve"> </w:t>
      </w:r>
    </w:p>
    <w:p w14:paraId="28D53CD2" w14:textId="77777777" w:rsidR="003915E3" w:rsidRPr="003137EA" w:rsidRDefault="003915E3" w:rsidP="00C34E03">
      <w:pPr>
        <w:numPr>
          <w:ilvl w:val="2"/>
          <w:numId w:val="3"/>
        </w:numPr>
        <w:spacing w:after="0" w:line="276" w:lineRule="auto"/>
        <w:ind w:left="1843" w:right="86" w:hanging="567"/>
        <w:rPr>
          <w:rFonts w:ascii="Arial" w:hAnsi="Arial" w:cs="Arial"/>
          <w:color w:val="auto"/>
          <w:szCs w:val="24"/>
        </w:rPr>
      </w:pPr>
      <w:r w:rsidRPr="003137EA">
        <w:rPr>
          <w:rFonts w:ascii="Arial" w:hAnsi="Arial" w:cs="Arial"/>
          <w:color w:val="auto"/>
          <w:szCs w:val="24"/>
        </w:rPr>
        <w:lastRenderedPageBreak/>
        <w:t xml:space="preserve">Where any duties or levies payable, from the date of the illustration until the end of the period for which the duty or levy must be applied, are not reflected in the projected retirement fund, an explanatory note must be provided with the projection and this note must clearly indicate that the projected retirement fund shown does not allow for the duties or levies. The note must also include numerical information on the financial impact of the duties or levies. Where such numerical information is approximate, it must not understate the financial impact; for example, the note may state the maximum percentage by which the duties or levies will reduce the retirement fund. </w:t>
      </w:r>
    </w:p>
    <w:p w14:paraId="4CC823EA" w14:textId="4FDA6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351699FB" w14:textId="5713FD5C"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3.5</w:t>
      </w:r>
      <w:r w:rsidRPr="003137EA">
        <w:rPr>
          <w:rFonts w:ascii="Arial" w:hAnsi="Arial" w:cs="Arial"/>
          <w:color w:val="auto"/>
          <w:szCs w:val="24"/>
        </w:rPr>
        <w:tab/>
        <w:t xml:space="preserve">Projected retirement funds must be determined having regard to </w:t>
      </w:r>
      <w:r w:rsidR="00670847">
        <w:rPr>
          <w:rFonts w:ascii="Arial" w:hAnsi="Arial" w:cs="Arial"/>
          <w:color w:val="auto"/>
          <w:szCs w:val="24"/>
        </w:rPr>
        <w:t>s</w:t>
      </w:r>
      <w:r w:rsidRPr="003137EA">
        <w:rPr>
          <w:rFonts w:ascii="Arial" w:hAnsi="Arial" w:cs="Arial"/>
          <w:color w:val="auto"/>
          <w:szCs w:val="24"/>
        </w:rPr>
        <w:t xml:space="preserve">ection 7, </w:t>
      </w:r>
      <w:r w:rsidR="00670847">
        <w:rPr>
          <w:rFonts w:ascii="Arial" w:hAnsi="Arial" w:cs="Arial"/>
          <w:color w:val="auto"/>
          <w:szCs w:val="24"/>
        </w:rPr>
        <w:t>s</w:t>
      </w:r>
      <w:r w:rsidRPr="003137EA">
        <w:rPr>
          <w:rFonts w:ascii="Arial" w:hAnsi="Arial" w:cs="Arial"/>
          <w:color w:val="auto"/>
          <w:szCs w:val="24"/>
        </w:rPr>
        <w:t xml:space="preserve">ection 9, </w:t>
      </w:r>
      <w:r w:rsidR="00670847">
        <w:rPr>
          <w:rFonts w:ascii="Arial" w:hAnsi="Arial" w:cs="Arial"/>
          <w:color w:val="auto"/>
          <w:szCs w:val="24"/>
        </w:rPr>
        <w:t>s</w:t>
      </w:r>
      <w:r w:rsidRPr="003137EA">
        <w:rPr>
          <w:rFonts w:ascii="Arial" w:hAnsi="Arial" w:cs="Arial"/>
          <w:color w:val="auto"/>
          <w:szCs w:val="24"/>
        </w:rPr>
        <w:t xml:space="preserve">ection 10 and </w:t>
      </w:r>
      <w:r w:rsidR="00670847">
        <w:rPr>
          <w:rFonts w:ascii="Arial" w:hAnsi="Arial" w:cs="Arial"/>
          <w:color w:val="auto"/>
          <w:szCs w:val="24"/>
        </w:rPr>
        <w:t>s</w:t>
      </w:r>
      <w:r w:rsidRPr="003137EA">
        <w:rPr>
          <w:rFonts w:ascii="Arial" w:hAnsi="Arial" w:cs="Arial"/>
          <w:color w:val="auto"/>
          <w:szCs w:val="24"/>
        </w:rPr>
        <w:t xml:space="preserve">ection 11 of this guidance. </w:t>
      </w:r>
    </w:p>
    <w:p w14:paraId="3F1E0115"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2EAC77FD" w14:textId="38503B7C" w:rsidR="008302F1" w:rsidRPr="003137EA" w:rsidRDefault="003915E3" w:rsidP="00C34E03">
      <w:pPr>
        <w:pStyle w:val="Heading3"/>
        <w:ind w:left="709" w:hanging="709"/>
      </w:pPr>
      <w:bookmarkStart w:id="3" w:name="_Toc109742777"/>
      <w:r w:rsidRPr="003137EA">
        <w:t>Assumed investment return – best estimate scenario</w:t>
      </w:r>
      <w:bookmarkEnd w:id="3"/>
      <w:r w:rsidRPr="003137EA">
        <w:t xml:space="preserve"> </w:t>
      </w:r>
    </w:p>
    <w:p w14:paraId="181BCE7C" w14:textId="5D7833E8"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4.1</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For the purposes of this guidance, under the best estimate scenario, the maximum assumed</w:t>
      </w:r>
      <w:r w:rsidRPr="003137EA">
        <w:rPr>
          <w:rFonts w:ascii="Arial" w:hAnsi="Arial" w:cs="Arial"/>
          <w:b/>
          <w:color w:val="auto"/>
          <w:szCs w:val="24"/>
        </w:rPr>
        <w:t xml:space="preserve"> </w:t>
      </w:r>
      <w:r w:rsidRPr="003137EA">
        <w:rPr>
          <w:rFonts w:ascii="Arial" w:hAnsi="Arial" w:cs="Arial"/>
          <w:color w:val="auto"/>
          <w:szCs w:val="24"/>
        </w:rPr>
        <w:t xml:space="preserve">rate of investment return is </w:t>
      </w:r>
      <w:r w:rsidR="0083575C">
        <w:rPr>
          <w:rFonts w:ascii="Arial" w:hAnsi="Arial" w:cs="Arial"/>
          <w:color w:val="auto"/>
          <w:szCs w:val="24"/>
        </w:rPr>
        <w:t>6</w:t>
      </w:r>
      <w:r w:rsidR="00584419">
        <w:rPr>
          <w:rFonts w:ascii="Arial" w:hAnsi="Arial" w:cs="Arial"/>
          <w:color w:val="auto"/>
          <w:szCs w:val="24"/>
        </w:rPr>
        <w:t>%</w:t>
      </w:r>
      <w:r w:rsidRPr="003137EA">
        <w:rPr>
          <w:rFonts w:ascii="Arial" w:hAnsi="Arial" w:cs="Arial"/>
          <w:color w:val="auto"/>
          <w:szCs w:val="24"/>
        </w:rPr>
        <w:t xml:space="preserve"> per annum before the deduction of all anticipated expenses, charges, stamp duty or pension levy. </w:t>
      </w:r>
    </w:p>
    <w:p w14:paraId="7DCD3C7E"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4596989F" w14:textId="77777777" w:rsidR="003915E3" w:rsidRPr="003137EA" w:rsidRDefault="003915E3" w:rsidP="00C34E03">
      <w:pPr>
        <w:spacing w:after="0" w:line="276" w:lineRule="auto"/>
        <w:ind w:left="734" w:right="207"/>
        <w:rPr>
          <w:rFonts w:ascii="Arial" w:hAnsi="Arial" w:cs="Arial"/>
          <w:color w:val="auto"/>
          <w:szCs w:val="24"/>
        </w:rPr>
      </w:pPr>
      <w:r w:rsidRPr="003137EA">
        <w:rPr>
          <w:rFonts w:ascii="Arial" w:hAnsi="Arial" w:cs="Arial"/>
          <w:color w:val="auto"/>
          <w:szCs w:val="24"/>
        </w:rPr>
        <w:t>4.2</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The rate of investment return, before deductions to cover expenses and charges, shall be determined having regard to the asset mix, on the following basis: </w:t>
      </w:r>
    </w:p>
    <w:p w14:paraId="3D69E680"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37AF7B7A" w14:textId="5A2CCD72" w:rsidR="003915E3" w:rsidRPr="003137EA" w:rsidRDefault="003915E3" w:rsidP="00C34E03">
      <w:pPr>
        <w:numPr>
          <w:ilvl w:val="0"/>
          <w:numId w:val="4"/>
        </w:numPr>
        <w:spacing w:after="0" w:line="276" w:lineRule="auto"/>
        <w:ind w:left="1276" w:right="31" w:hanging="549"/>
        <w:rPr>
          <w:rFonts w:ascii="Arial" w:hAnsi="Arial" w:cs="Arial"/>
          <w:color w:val="auto"/>
          <w:szCs w:val="24"/>
        </w:rPr>
      </w:pPr>
      <w:r w:rsidRPr="003137EA">
        <w:rPr>
          <w:rFonts w:ascii="Arial" w:hAnsi="Arial" w:cs="Arial"/>
          <w:color w:val="auto"/>
          <w:szCs w:val="24"/>
        </w:rPr>
        <w:t xml:space="preserve">the maximum gross investment return for equities and property will be </w:t>
      </w:r>
      <w:r w:rsidR="009C01E2">
        <w:rPr>
          <w:rFonts w:ascii="Arial" w:hAnsi="Arial" w:cs="Arial"/>
          <w:color w:val="auto"/>
          <w:szCs w:val="24"/>
        </w:rPr>
        <w:t>6.65%</w:t>
      </w:r>
      <w:r w:rsidRPr="003137EA">
        <w:rPr>
          <w:rFonts w:ascii="Arial" w:hAnsi="Arial" w:cs="Arial"/>
          <w:color w:val="auto"/>
          <w:szCs w:val="24"/>
        </w:rPr>
        <w:t xml:space="preserve"> per annum</w:t>
      </w:r>
      <w:r w:rsidR="00A52DC5" w:rsidRPr="003137EA">
        <w:rPr>
          <w:rFonts w:ascii="Arial" w:hAnsi="Arial" w:cs="Arial"/>
          <w:color w:val="auto"/>
          <w:szCs w:val="24"/>
        </w:rPr>
        <w:t>,</w:t>
      </w:r>
      <w:r w:rsidRPr="003137EA">
        <w:rPr>
          <w:rFonts w:ascii="Arial" w:hAnsi="Arial" w:cs="Arial"/>
          <w:color w:val="auto"/>
          <w:szCs w:val="24"/>
        </w:rPr>
        <w:t xml:space="preserve"> </w:t>
      </w:r>
    </w:p>
    <w:p w14:paraId="6220CA0A" w14:textId="77777777" w:rsidR="003915E3" w:rsidRPr="003137EA" w:rsidRDefault="003915E3" w:rsidP="00C34E03">
      <w:pPr>
        <w:spacing w:after="0" w:line="276" w:lineRule="auto"/>
        <w:ind w:left="1276" w:hanging="549"/>
        <w:rPr>
          <w:rFonts w:ascii="Arial" w:hAnsi="Arial" w:cs="Arial"/>
          <w:color w:val="auto"/>
          <w:szCs w:val="24"/>
        </w:rPr>
      </w:pPr>
      <w:r w:rsidRPr="003137EA">
        <w:rPr>
          <w:rFonts w:ascii="Arial" w:hAnsi="Arial" w:cs="Arial"/>
          <w:color w:val="auto"/>
          <w:szCs w:val="24"/>
        </w:rPr>
        <w:t xml:space="preserve"> </w:t>
      </w:r>
    </w:p>
    <w:p w14:paraId="1EF3CFDB" w14:textId="48330294" w:rsidR="003915E3" w:rsidRPr="003137EA" w:rsidRDefault="003915E3" w:rsidP="00C34E03">
      <w:pPr>
        <w:numPr>
          <w:ilvl w:val="0"/>
          <w:numId w:val="4"/>
        </w:numPr>
        <w:spacing w:after="0" w:line="276" w:lineRule="auto"/>
        <w:ind w:left="1276" w:right="31" w:hanging="549"/>
        <w:rPr>
          <w:rFonts w:ascii="Arial" w:hAnsi="Arial" w:cs="Arial"/>
          <w:color w:val="auto"/>
          <w:szCs w:val="24"/>
        </w:rPr>
      </w:pPr>
      <w:r w:rsidRPr="003137EA">
        <w:rPr>
          <w:rFonts w:ascii="Arial" w:hAnsi="Arial" w:cs="Arial"/>
          <w:color w:val="auto"/>
          <w:szCs w:val="24"/>
        </w:rPr>
        <w:t xml:space="preserve">the maximum gross investment return for fixed interest securities will be </w:t>
      </w:r>
      <w:r w:rsidR="009C01E2">
        <w:rPr>
          <w:rFonts w:ascii="Arial" w:hAnsi="Arial" w:cs="Arial"/>
          <w:color w:val="auto"/>
          <w:szCs w:val="24"/>
        </w:rPr>
        <w:t>3.40%</w:t>
      </w:r>
      <w:r w:rsidRPr="003137EA">
        <w:rPr>
          <w:rFonts w:ascii="Arial" w:hAnsi="Arial" w:cs="Arial"/>
          <w:color w:val="auto"/>
          <w:szCs w:val="24"/>
        </w:rPr>
        <w:t xml:space="preserve"> per annum</w:t>
      </w:r>
      <w:r w:rsidR="00A52DC5" w:rsidRPr="003137EA">
        <w:rPr>
          <w:rFonts w:ascii="Arial" w:hAnsi="Arial" w:cs="Arial"/>
          <w:color w:val="auto"/>
          <w:szCs w:val="24"/>
        </w:rPr>
        <w:t>,</w:t>
      </w:r>
      <w:r w:rsidRPr="003137EA">
        <w:rPr>
          <w:rFonts w:ascii="Arial" w:hAnsi="Arial" w:cs="Arial"/>
          <w:color w:val="auto"/>
          <w:szCs w:val="24"/>
        </w:rPr>
        <w:t xml:space="preserve"> </w:t>
      </w:r>
    </w:p>
    <w:p w14:paraId="0A79BF75" w14:textId="77777777" w:rsidR="003915E3" w:rsidRPr="003137EA" w:rsidRDefault="003915E3" w:rsidP="00C34E03">
      <w:pPr>
        <w:spacing w:after="0" w:line="276" w:lineRule="auto"/>
        <w:ind w:left="1276" w:hanging="549"/>
        <w:rPr>
          <w:rFonts w:ascii="Arial" w:hAnsi="Arial" w:cs="Arial"/>
          <w:color w:val="auto"/>
          <w:szCs w:val="24"/>
        </w:rPr>
      </w:pPr>
      <w:r w:rsidRPr="003137EA">
        <w:rPr>
          <w:rFonts w:ascii="Arial" w:hAnsi="Arial" w:cs="Arial"/>
          <w:color w:val="auto"/>
          <w:szCs w:val="24"/>
        </w:rPr>
        <w:t xml:space="preserve"> </w:t>
      </w:r>
    </w:p>
    <w:p w14:paraId="7BB29623" w14:textId="1DEB22FF" w:rsidR="003915E3" w:rsidRPr="003137EA" w:rsidRDefault="003915E3" w:rsidP="00C34E03">
      <w:pPr>
        <w:numPr>
          <w:ilvl w:val="0"/>
          <w:numId w:val="4"/>
        </w:numPr>
        <w:spacing w:after="0" w:line="276" w:lineRule="auto"/>
        <w:ind w:left="1276" w:right="31" w:hanging="549"/>
        <w:rPr>
          <w:rFonts w:ascii="Arial" w:hAnsi="Arial" w:cs="Arial"/>
          <w:color w:val="auto"/>
          <w:szCs w:val="24"/>
        </w:rPr>
      </w:pPr>
      <w:r w:rsidRPr="003137EA">
        <w:rPr>
          <w:rFonts w:ascii="Arial" w:hAnsi="Arial" w:cs="Arial"/>
          <w:color w:val="auto"/>
          <w:szCs w:val="24"/>
        </w:rPr>
        <w:t xml:space="preserve">the maximum gross investment return for cash will be </w:t>
      </w:r>
      <w:r w:rsidR="009C01E2">
        <w:rPr>
          <w:rFonts w:ascii="Arial" w:hAnsi="Arial" w:cs="Arial"/>
          <w:color w:val="auto"/>
          <w:szCs w:val="24"/>
        </w:rPr>
        <w:t>2.65%</w:t>
      </w:r>
      <w:r w:rsidRPr="003137EA">
        <w:rPr>
          <w:rFonts w:ascii="Arial" w:hAnsi="Arial" w:cs="Arial"/>
          <w:color w:val="auto"/>
          <w:szCs w:val="24"/>
        </w:rPr>
        <w:t xml:space="preserve"> per annum</w:t>
      </w:r>
      <w:r w:rsidR="00A52DC5" w:rsidRPr="003137EA">
        <w:rPr>
          <w:rFonts w:ascii="Arial" w:hAnsi="Arial" w:cs="Arial"/>
          <w:color w:val="auto"/>
          <w:szCs w:val="24"/>
        </w:rPr>
        <w:t>,</w:t>
      </w:r>
      <w:r w:rsidRPr="003137EA">
        <w:rPr>
          <w:rFonts w:ascii="Arial" w:hAnsi="Arial" w:cs="Arial"/>
          <w:color w:val="auto"/>
          <w:szCs w:val="24"/>
        </w:rPr>
        <w:t xml:space="preserve"> and </w:t>
      </w:r>
    </w:p>
    <w:p w14:paraId="0D36A41F" w14:textId="77777777" w:rsidR="003915E3" w:rsidRPr="003137EA" w:rsidRDefault="003915E3" w:rsidP="00C34E03">
      <w:pPr>
        <w:spacing w:after="0" w:line="276" w:lineRule="auto"/>
        <w:ind w:left="1276" w:hanging="549"/>
        <w:rPr>
          <w:rFonts w:ascii="Arial" w:hAnsi="Arial" w:cs="Arial"/>
          <w:color w:val="auto"/>
          <w:szCs w:val="24"/>
        </w:rPr>
      </w:pPr>
      <w:r w:rsidRPr="003137EA">
        <w:rPr>
          <w:rFonts w:ascii="Arial" w:hAnsi="Arial" w:cs="Arial"/>
          <w:color w:val="auto"/>
          <w:szCs w:val="24"/>
        </w:rPr>
        <w:t xml:space="preserve"> </w:t>
      </w:r>
    </w:p>
    <w:p w14:paraId="0442DFDB" w14:textId="1824D788" w:rsidR="003915E3" w:rsidRPr="003137EA" w:rsidRDefault="003915E3" w:rsidP="00C34E03">
      <w:pPr>
        <w:numPr>
          <w:ilvl w:val="0"/>
          <w:numId w:val="4"/>
        </w:numPr>
        <w:spacing w:after="0" w:line="276" w:lineRule="auto"/>
        <w:ind w:left="1276" w:right="31" w:hanging="549"/>
        <w:rPr>
          <w:rFonts w:ascii="Arial" w:hAnsi="Arial" w:cs="Arial"/>
          <w:color w:val="auto"/>
          <w:szCs w:val="24"/>
        </w:rPr>
      </w:pPr>
      <w:r w:rsidRPr="003137EA">
        <w:rPr>
          <w:rFonts w:ascii="Arial" w:hAnsi="Arial" w:cs="Arial"/>
          <w:color w:val="auto"/>
          <w:szCs w:val="24"/>
        </w:rPr>
        <w:t xml:space="preserve">the maximum gross investment return for other asset classes, hybrid instruments or derivatives will be determined </w:t>
      </w:r>
      <w:proofErr w:type="gramStart"/>
      <w:r w:rsidRPr="003137EA">
        <w:rPr>
          <w:rFonts w:ascii="Arial" w:hAnsi="Arial" w:cs="Arial"/>
          <w:color w:val="auto"/>
          <w:szCs w:val="24"/>
        </w:rPr>
        <w:t>on the basis of</w:t>
      </w:r>
      <w:proofErr w:type="gramEnd"/>
      <w:r w:rsidRPr="003137EA">
        <w:rPr>
          <w:rFonts w:ascii="Arial" w:hAnsi="Arial" w:cs="Arial"/>
          <w:color w:val="auto"/>
          <w:szCs w:val="24"/>
        </w:rPr>
        <w:t xml:space="preserve"> a </w:t>
      </w:r>
      <w:r w:rsidR="00A52DC5" w:rsidRPr="003137EA">
        <w:rPr>
          <w:rFonts w:ascii="Arial" w:hAnsi="Arial" w:cs="Arial"/>
          <w:color w:val="auto"/>
          <w:szCs w:val="24"/>
        </w:rPr>
        <w:t>‘</w:t>
      </w:r>
      <w:r w:rsidRPr="003137EA">
        <w:rPr>
          <w:rFonts w:ascii="Arial" w:hAnsi="Arial" w:cs="Arial"/>
          <w:color w:val="auto"/>
          <w:szCs w:val="24"/>
        </w:rPr>
        <w:t>look through</w:t>
      </w:r>
      <w:r w:rsidR="00A52DC5" w:rsidRPr="003137EA">
        <w:rPr>
          <w:rFonts w:ascii="Arial" w:hAnsi="Arial" w:cs="Arial"/>
          <w:color w:val="auto"/>
          <w:szCs w:val="24"/>
        </w:rPr>
        <w:t>’</w:t>
      </w:r>
      <w:r w:rsidRPr="003137EA">
        <w:rPr>
          <w:rFonts w:ascii="Arial" w:hAnsi="Arial" w:cs="Arial"/>
          <w:color w:val="auto"/>
          <w:szCs w:val="24"/>
        </w:rPr>
        <w:t xml:space="preserve"> to the underlying assets and the current and expected long term asset mix as outlined under </w:t>
      </w:r>
      <w:r w:rsidR="00B1005B">
        <w:rPr>
          <w:rFonts w:ascii="Arial" w:hAnsi="Arial" w:cs="Arial"/>
          <w:color w:val="auto"/>
          <w:szCs w:val="24"/>
        </w:rPr>
        <w:t>p</w:t>
      </w:r>
      <w:r w:rsidRPr="003137EA">
        <w:rPr>
          <w:rFonts w:ascii="Arial" w:hAnsi="Arial" w:cs="Arial"/>
          <w:color w:val="auto"/>
          <w:szCs w:val="24"/>
        </w:rPr>
        <w:t>aragraph 4.3</w:t>
      </w:r>
      <w:r w:rsidR="003137EA" w:rsidRPr="003137EA">
        <w:rPr>
          <w:rFonts w:ascii="Arial" w:hAnsi="Arial" w:cs="Arial"/>
          <w:color w:val="auto"/>
          <w:szCs w:val="24"/>
        </w:rPr>
        <w:t>.</w:t>
      </w:r>
      <w:r w:rsidRPr="003137EA">
        <w:rPr>
          <w:rFonts w:ascii="Arial" w:hAnsi="Arial" w:cs="Arial"/>
          <w:color w:val="auto"/>
          <w:szCs w:val="24"/>
        </w:rPr>
        <w:t xml:space="preserve"> </w:t>
      </w:r>
    </w:p>
    <w:p w14:paraId="14927694"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51DBD113" w14:textId="77777777" w:rsidR="003915E3" w:rsidRPr="003137EA" w:rsidRDefault="003915E3" w:rsidP="00C34E03">
      <w:pPr>
        <w:spacing w:after="0" w:line="276" w:lineRule="auto"/>
        <w:ind w:left="742" w:right="31" w:firstLine="0"/>
        <w:rPr>
          <w:rFonts w:ascii="Arial" w:hAnsi="Arial" w:cs="Arial"/>
          <w:color w:val="auto"/>
          <w:szCs w:val="24"/>
        </w:rPr>
      </w:pPr>
      <w:r w:rsidRPr="003137EA">
        <w:rPr>
          <w:rFonts w:ascii="Arial" w:hAnsi="Arial" w:cs="Arial"/>
          <w:color w:val="auto"/>
          <w:szCs w:val="24"/>
        </w:rPr>
        <w:t xml:space="preserve">For this purpose, in the case of geared funds, borrowings must be treated as negative holdings of assets. The rate of investment return applied to borrowings must be the expected rate of interest payable on such </w:t>
      </w:r>
      <w:r w:rsidRPr="003137EA">
        <w:rPr>
          <w:rFonts w:ascii="Arial" w:hAnsi="Arial" w:cs="Arial"/>
          <w:color w:val="auto"/>
          <w:szCs w:val="24"/>
        </w:rPr>
        <w:lastRenderedPageBreak/>
        <w:t xml:space="preserve">borrowings, subject to a minimum of the gross investment return for fixed interest securities. </w:t>
      </w:r>
    </w:p>
    <w:p w14:paraId="78F0A06A"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4246EC88" w14:textId="62CE1C05" w:rsidR="003915E3" w:rsidRPr="003137EA" w:rsidRDefault="003915E3" w:rsidP="00C34E03">
      <w:pPr>
        <w:spacing w:after="0" w:line="276" w:lineRule="auto"/>
        <w:ind w:left="742" w:right="185" w:firstLine="0"/>
        <w:rPr>
          <w:rFonts w:ascii="Arial" w:hAnsi="Arial" w:cs="Arial"/>
          <w:color w:val="auto"/>
          <w:szCs w:val="24"/>
        </w:rPr>
      </w:pPr>
      <w:r w:rsidRPr="003137EA">
        <w:rPr>
          <w:rFonts w:ascii="Arial" w:hAnsi="Arial" w:cs="Arial"/>
          <w:color w:val="auto"/>
          <w:szCs w:val="24"/>
        </w:rPr>
        <w:t xml:space="preserve">The rate of investment return so determined shall be subject to an upper limit of </w:t>
      </w:r>
      <w:r w:rsidR="009C01E2">
        <w:rPr>
          <w:rFonts w:ascii="Arial" w:hAnsi="Arial" w:cs="Arial"/>
          <w:color w:val="auto"/>
          <w:szCs w:val="24"/>
        </w:rPr>
        <w:t>6.00%</w:t>
      </w:r>
      <w:r w:rsidRPr="003137EA">
        <w:rPr>
          <w:rFonts w:ascii="Arial" w:hAnsi="Arial" w:cs="Arial"/>
          <w:color w:val="auto"/>
          <w:szCs w:val="24"/>
        </w:rPr>
        <w:t xml:space="preserve"> per annum. </w:t>
      </w:r>
    </w:p>
    <w:p w14:paraId="35ECF825" w14:textId="77777777" w:rsidR="003915E3" w:rsidRPr="003137EA" w:rsidRDefault="003915E3" w:rsidP="00C34E03">
      <w:pPr>
        <w:spacing w:after="0" w:line="276" w:lineRule="auto"/>
        <w:ind w:left="742" w:firstLine="0"/>
        <w:rPr>
          <w:rFonts w:ascii="Arial" w:hAnsi="Arial" w:cs="Arial"/>
          <w:color w:val="auto"/>
          <w:szCs w:val="24"/>
        </w:rPr>
      </w:pPr>
      <w:r w:rsidRPr="003137EA">
        <w:rPr>
          <w:rFonts w:ascii="Arial" w:hAnsi="Arial" w:cs="Arial"/>
          <w:color w:val="auto"/>
          <w:szCs w:val="24"/>
        </w:rPr>
        <w:t xml:space="preserve"> </w:t>
      </w:r>
    </w:p>
    <w:p w14:paraId="5EF87C01" w14:textId="1567BD8D" w:rsidR="003915E3" w:rsidRPr="003137EA" w:rsidRDefault="003915E3" w:rsidP="00C34E03">
      <w:pPr>
        <w:spacing w:after="0" w:line="276" w:lineRule="auto"/>
        <w:ind w:left="742" w:right="166" w:firstLine="0"/>
        <w:rPr>
          <w:rFonts w:ascii="Arial" w:hAnsi="Arial" w:cs="Arial"/>
          <w:color w:val="auto"/>
          <w:szCs w:val="24"/>
        </w:rPr>
      </w:pPr>
      <w:r w:rsidRPr="003137EA">
        <w:rPr>
          <w:rFonts w:ascii="Arial" w:hAnsi="Arial" w:cs="Arial"/>
          <w:color w:val="auto"/>
          <w:szCs w:val="24"/>
        </w:rPr>
        <w:t xml:space="preserve">For long-dated projections, the use of the maximum rates above would normally be appropriate as expected long-term returns on asset classes may differ from current yields. However, for projections of less than five years, it is important to have regard to the current level of prevailing yields on the underlying assets.   </w:t>
      </w:r>
    </w:p>
    <w:p w14:paraId="69780A43" w14:textId="77777777" w:rsidR="003915E3" w:rsidRPr="003137EA" w:rsidRDefault="003915E3" w:rsidP="00C34E03">
      <w:pPr>
        <w:spacing w:after="0" w:line="276" w:lineRule="auto"/>
        <w:ind w:left="19" w:firstLine="0"/>
        <w:rPr>
          <w:rFonts w:ascii="Arial" w:hAnsi="Arial" w:cs="Arial"/>
          <w:color w:val="auto"/>
          <w:szCs w:val="24"/>
        </w:rPr>
      </w:pPr>
    </w:p>
    <w:p w14:paraId="3D2E9A8F" w14:textId="13AFA727" w:rsidR="003915E3" w:rsidRPr="003137EA" w:rsidRDefault="003915E3" w:rsidP="00C34E03">
      <w:pPr>
        <w:spacing w:after="0" w:line="276" w:lineRule="auto"/>
        <w:ind w:left="751" w:right="80" w:hanging="732"/>
        <w:rPr>
          <w:rFonts w:ascii="Arial" w:hAnsi="Arial" w:cs="Arial"/>
          <w:color w:val="auto"/>
          <w:szCs w:val="24"/>
        </w:rPr>
      </w:pPr>
      <w:r w:rsidRPr="003137EA">
        <w:rPr>
          <w:rFonts w:ascii="Arial" w:hAnsi="Arial" w:cs="Arial"/>
          <w:color w:val="auto"/>
          <w:szCs w:val="24"/>
        </w:rPr>
        <w:t>4.3</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When determining the rate of investment return under paragraph 4.2(iv), it is important to understand the economic effect of any derivatives and gearing on the future performance of the assets of the pension fund. The assumed rate of investment return must be consistent with: </w:t>
      </w:r>
    </w:p>
    <w:p w14:paraId="3FEC4135"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21E901A7" w14:textId="7383F307" w:rsidR="003915E3" w:rsidRPr="00662DFE" w:rsidRDefault="003915E3" w:rsidP="00C34E03">
      <w:pPr>
        <w:numPr>
          <w:ilvl w:val="0"/>
          <w:numId w:val="5"/>
        </w:numPr>
        <w:spacing w:after="0" w:line="276" w:lineRule="auto"/>
        <w:ind w:left="1276" w:right="80" w:hanging="549"/>
        <w:rPr>
          <w:rFonts w:ascii="Arial" w:hAnsi="Arial" w:cs="Arial"/>
          <w:color w:val="auto"/>
          <w:szCs w:val="24"/>
        </w:rPr>
      </w:pPr>
      <w:r w:rsidRPr="003137EA">
        <w:rPr>
          <w:rFonts w:ascii="Arial" w:hAnsi="Arial" w:cs="Arial"/>
          <w:color w:val="auto"/>
          <w:szCs w:val="24"/>
        </w:rPr>
        <w:t xml:space="preserve">the past volatility and/or expected volatility of the investments </w:t>
      </w:r>
      <w:r w:rsidRPr="00662DFE">
        <w:rPr>
          <w:rFonts w:ascii="Arial" w:hAnsi="Arial" w:cs="Arial"/>
          <w:color w:val="auto"/>
          <w:szCs w:val="24"/>
        </w:rPr>
        <w:t>(whichever is more relevant)</w:t>
      </w:r>
      <w:r w:rsidR="00662DFE">
        <w:rPr>
          <w:rFonts w:ascii="Arial" w:hAnsi="Arial" w:cs="Arial"/>
          <w:color w:val="auto"/>
          <w:szCs w:val="24"/>
        </w:rPr>
        <w:t>,</w:t>
      </w:r>
      <w:r w:rsidRPr="00662DFE">
        <w:rPr>
          <w:rFonts w:ascii="Arial" w:hAnsi="Arial" w:cs="Arial"/>
          <w:color w:val="auto"/>
          <w:szCs w:val="24"/>
        </w:rPr>
        <w:t xml:space="preserve"> </w:t>
      </w:r>
    </w:p>
    <w:p w14:paraId="02F130A0" w14:textId="77777777" w:rsidR="003915E3" w:rsidRPr="003137EA" w:rsidRDefault="003915E3" w:rsidP="00C34E03">
      <w:pPr>
        <w:spacing w:after="0" w:line="276" w:lineRule="auto"/>
        <w:ind w:left="1276" w:hanging="549"/>
        <w:rPr>
          <w:rFonts w:ascii="Arial" w:hAnsi="Arial" w:cs="Arial"/>
          <w:color w:val="auto"/>
          <w:szCs w:val="24"/>
        </w:rPr>
      </w:pPr>
      <w:r w:rsidRPr="003137EA">
        <w:rPr>
          <w:rFonts w:ascii="Arial" w:hAnsi="Arial" w:cs="Arial"/>
          <w:color w:val="auto"/>
          <w:szCs w:val="24"/>
        </w:rPr>
        <w:t xml:space="preserve"> </w:t>
      </w:r>
    </w:p>
    <w:p w14:paraId="79E30C24" w14:textId="2C5794DB" w:rsidR="003915E3" w:rsidRPr="003137EA" w:rsidRDefault="003915E3" w:rsidP="00C34E03">
      <w:pPr>
        <w:numPr>
          <w:ilvl w:val="0"/>
          <w:numId w:val="5"/>
        </w:numPr>
        <w:spacing w:after="0" w:line="276" w:lineRule="auto"/>
        <w:ind w:left="1276" w:right="80" w:hanging="549"/>
        <w:rPr>
          <w:rFonts w:ascii="Arial" w:hAnsi="Arial" w:cs="Arial"/>
          <w:color w:val="auto"/>
          <w:szCs w:val="24"/>
        </w:rPr>
      </w:pPr>
      <w:r w:rsidRPr="003137EA">
        <w:rPr>
          <w:rFonts w:ascii="Arial" w:hAnsi="Arial" w:cs="Arial"/>
          <w:color w:val="auto"/>
          <w:szCs w:val="24"/>
        </w:rPr>
        <w:t>where applicable, the published asset mix information provided to investors</w:t>
      </w:r>
      <w:r w:rsidR="00662DFE">
        <w:rPr>
          <w:rFonts w:ascii="Arial" w:hAnsi="Arial" w:cs="Arial"/>
          <w:color w:val="auto"/>
          <w:szCs w:val="24"/>
        </w:rPr>
        <w:t>,</w:t>
      </w:r>
    </w:p>
    <w:p w14:paraId="1655ACC1" w14:textId="77777777" w:rsidR="003915E3" w:rsidRPr="003137EA" w:rsidRDefault="003915E3" w:rsidP="00C34E03">
      <w:pPr>
        <w:spacing w:after="0" w:line="276" w:lineRule="auto"/>
        <w:ind w:left="1276" w:hanging="549"/>
        <w:rPr>
          <w:rFonts w:ascii="Arial" w:hAnsi="Arial" w:cs="Arial"/>
          <w:color w:val="auto"/>
          <w:szCs w:val="24"/>
        </w:rPr>
      </w:pPr>
      <w:r w:rsidRPr="003137EA">
        <w:rPr>
          <w:rFonts w:ascii="Arial" w:hAnsi="Arial" w:cs="Arial"/>
          <w:color w:val="auto"/>
          <w:szCs w:val="24"/>
        </w:rPr>
        <w:t xml:space="preserve"> </w:t>
      </w:r>
    </w:p>
    <w:p w14:paraId="6FD13344" w14:textId="257E805A" w:rsidR="003915E3" w:rsidRPr="003137EA" w:rsidRDefault="003915E3" w:rsidP="00C34E03">
      <w:pPr>
        <w:numPr>
          <w:ilvl w:val="0"/>
          <w:numId w:val="5"/>
        </w:numPr>
        <w:spacing w:after="0" w:line="276" w:lineRule="auto"/>
        <w:ind w:left="1276" w:right="80" w:hanging="549"/>
        <w:rPr>
          <w:rFonts w:ascii="Arial" w:hAnsi="Arial" w:cs="Arial"/>
          <w:color w:val="auto"/>
          <w:szCs w:val="24"/>
        </w:rPr>
      </w:pPr>
      <w:r w:rsidRPr="003137EA">
        <w:rPr>
          <w:rFonts w:ascii="Arial" w:hAnsi="Arial" w:cs="Arial"/>
          <w:color w:val="auto"/>
          <w:szCs w:val="24"/>
        </w:rPr>
        <w:t>where applicable, the published risk rating of investments</w:t>
      </w:r>
      <w:r w:rsidR="00662DFE">
        <w:rPr>
          <w:rFonts w:ascii="Arial" w:hAnsi="Arial" w:cs="Arial"/>
          <w:color w:val="auto"/>
          <w:szCs w:val="24"/>
        </w:rPr>
        <w:t>,</w:t>
      </w:r>
      <w:r w:rsidRPr="003137EA">
        <w:rPr>
          <w:rFonts w:ascii="Arial" w:hAnsi="Arial" w:cs="Arial"/>
          <w:color w:val="auto"/>
          <w:szCs w:val="24"/>
        </w:rPr>
        <w:t xml:space="preserve"> and </w:t>
      </w:r>
    </w:p>
    <w:p w14:paraId="47A898A9" w14:textId="77777777" w:rsidR="003915E3" w:rsidRPr="003137EA" w:rsidRDefault="003915E3" w:rsidP="00C34E03">
      <w:pPr>
        <w:spacing w:after="0" w:line="276" w:lineRule="auto"/>
        <w:ind w:left="1276" w:hanging="549"/>
        <w:rPr>
          <w:rFonts w:ascii="Arial" w:hAnsi="Arial" w:cs="Arial"/>
          <w:color w:val="auto"/>
          <w:szCs w:val="24"/>
        </w:rPr>
      </w:pPr>
      <w:r w:rsidRPr="003137EA">
        <w:rPr>
          <w:rFonts w:ascii="Arial" w:hAnsi="Arial" w:cs="Arial"/>
          <w:color w:val="auto"/>
          <w:szCs w:val="24"/>
        </w:rPr>
        <w:t xml:space="preserve"> </w:t>
      </w:r>
    </w:p>
    <w:p w14:paraId="29F56709" w14:textId="77777777" w:rsidR="003915E3" w:rsidRPr="003137EA" w:rsidRDefault="003915E3" w:rsidP="00C34E03">
      <w:pPr>
        <w:numPr>
          <w:ilvl w:val="0"/>
          <w:numId w:val="5"/>
        </w:numPr>
        <w:spacing w:after="0" w:line="276" w:lineRule="auto"/>
        <w:ind w:left="1276" w:right="80" w:hanging="549"/>
        <w:rPr>
          <w:rFonts w:ascii="Arial" w:hAnsi="Arial" w:cs="Arial"/>
          <w:color w:val="auto"/>
          <w:szCs w:val="24"/>
        </w:rPr>
      </w:pPr>
      <w:r w:rsidRPr="003137EA">
        <w:rPr>
          <w:rFonts w:ascii="Arial" w:hAnsi="Arial" w:cs="Arial"/>
          <w:color w:val="auto"/>
          <w:szCs w:val="24"/>
        </w:rPr>
        <w:t xml:space="preserve">any other relevant information (such as a relevant fund manager’s target value at risk). </w:t>
      </w:r>
    </w:p>
    <w:p w14:paraId="467E7D5D"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7D9C425B" w14:textId="12AEFDFC" w:rsidR="003915E3" w:rsidRPr="003137EA" w:rsidRDefault="003915E3" w:rsidP="00C34E03">
      <w:pPr>
        <w:spacing w:after="0" w:line="276" w:lineRule="auto"/>
        <w:ind w:left="742" w:right="35" w:firstLine="0"/>
        <w:rPr>
          <w:rFonts w:ascii="Arial" w:hAnsi="Arial" w:cs="Arial"/>
          <w:color w:val="auto"/>
          <w:szCs w:val="24"/>
        </w:rPr>
      </w:pPr>
      <w:r w:rsidRPr="003137EA">
        <w:rPr>
          <w:rFonts w:ascii="Arial" w:hAnsi="Arial" w:cs="Arial"/>
          <w:color w:val="auto"/>
          <w:szCs w:val="24"/>
        </w:rPr>
        <w:t xml:space="preserve">Further, in the calculation of the assumed rate of investment return on the fund, the assumed returns on underlying assets must not exceed the maximum rates specified in paragraphs 4.2(i), (ii) and (iii), as relevant. </w:t>
      </w:r>
    </w:p>
    <w:p w14:paraId="6EAA9AA3" w14:textId="77777777" w:rsidR="003915E3" w:rsidRPr="003137EA" w:rsidRDefault="003915E3" w:rsidP="00C34E03">
      <w:pPr>
        <w:spacing w:after="0" w:line="276" w:lineRule="auto"/>
        <w:ind w:left="19" w:right="35" w:firstLine="0"/>
        <w:rPr>
          <w:rFonts w:ascii="Arial" w:hAnsi="Arial" w:cs="Arial"/>
          <w:color w:val="auto"/>
          <w:szCs w:val="24"/>
        </w:rPr>
      </w:pPr>
      <w:r w:rsidRPr="003137EA">
        <w:rPr>
          <w:rFonts w:ascii="Arial" w:hAnsi="Arial" w:cs="Arial"/>
          <w:color w:val="auto"/>
          <w:szCs w:val="24"/>
        </w:rPr>
        <w:t xml:space="preserve"> </w:t>
      </w:r>
    </w:p>
    <w:p w14:paraId="21FB498A" w14:textId="1D27186A" w:rsidR="003915E3" w:rsidRPr="003137EA" w:rsidRDefault="003915E3" w:rsidP="00C34E03">
      <w:pPr>
        <w:spacing w:after="0" w:line="276" w:lineRule="auto"/>
        <w:ind w:left="727" w:right="35" w:firstLine="0"/>
        <w:rPr>
          <w:rFonts w:ascii="Arial" w:hAnsi="Arial" w:cs="Arial"/>
          <w:color w:val="auto"/>
          <w:szCs w:val="24"/>
        </w:rPr>
      </w:pPr>
      <w:r w:rsidRPr="003137EA">
        <w:rPr>
          <w:rFonts w:ascii="Arial" w:hAnsi="Arial" w:cs="Arial"/>
          <w:color w:val="auto"/>
          <w:szCs w:val="24"/>
        </w:rPr>
        <w:t xml:space="preserve">Where there is insufficient information to determine the rate of investment return for a particular asset or holding in an investment fund, the gross investment return assumed shall be subject to a maximum of </w:t>
      </w:r>
      <w:r w:rsidR="009C01E2">
        <w:rPr>
          <w:rFonts w:ascii="Arial" w:hAnsi="Arial" w:cs="Arial"/>
          <w:color w:val="auto"/>
          <w:szCs w:val="24"/>
        </w:rPr>
        <w:t>2.65%</w:t>
      </w:r>
      <w:r w:rsidRPr="003137EA">
        <w:rPr>
          <w:rFonts w:ascii="Arial" w:hAnsi="Arial" w:cs="Arial"/>
          <w:color w:val="auto"/>
          <w:szCs w:val="24"/>
        </w:rPr>
        <w:t xml:space="preserve"> per annum. </w:t>
      </w:r>
    </w:p>
    <w:p w14:paraId="40410362"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192B8EAF" w14:textId="70233F26" w:rsidR="003915E3" w:rsidRPr="003137EA" w:rsidRDefault="003915E3" w:rsidP="00C34E03">
      <w:pPr>
        <w:numPr>
          <w:ilvl w:val="1"/>
          <w:numId w:val="6"/>
        </w:numPr>
        <w:spacing w:after="0" w:line="276" w:lineRule="auto"/>
        <w:ind w:left="726" w:right="31" w:hanging="722"/>
        <w:rPr>
          <w:rFonts w:ascii="Arial" w:hAnsi="Arial" w:cs="Arial"/>
          <w:color w:val="auto"/>
          <w:szCs w:val="24"/>
        </w:rPr>
      </w:pPr>
      <w:r w:rsidRPr="003137EA">
        <w:rPr>
          <w:rFonts w:ascii="Arial" w:hAnsi="Arial" w:cs="Arial"/>
          <w:color w:val="auto"/>
          <w:szCs w:val="24"/>
        </w:rPr>
        <w:t xml:space="preserve">Where assets and/or future contributions are invested in accordance with an investment strategy under which the allocation of contributions and/or accumulated assets to different asset classes is expected to change in the future, the assumed investment return for a month must be based on the expected asset mix for that month. The (monthly equivalent of the) upper limit </w:t>
      </w:r>
      <w:r w:rsidRPr="003137EA">
        <w:rPr>
          <w:rFonts w:ascii="Arial" w:hAnsi="Arial" w:cs="Arial"/>
          <w:color w:val="auto"/>
          <w:szCs w:val="24"/>
        </w:rPr>
        <w:lastRenderedPageBreak/>
        <w:t xml:space="preserve">specified in </w:t>
      </w:r>
      <w:r w:rsidR="00B1005B">
        <w:rPr>
          <w:rFonts w:ascii="Arial" w:hAnsi="Arial" w:cs="Arial"/>
          <w:color w:val="auto"/>
          <w:szCs w:val="24"/>
        </w:rPr>
        <w:t>p</w:t>
      </w:r>
      <w:r w:rsidRPr="003137EA">
        <w:rPr>
          <w:rFonts w:ascii="Arial" w:hAnsi="Arial" w:cs="Arial"/>
          <w:color w:val="auto"/>
          <w:szCs w:val="24"/>
        </w:rPr>
        <w:t xml:space="preserve">aragraph 4.2 applies separately to each month of the projection period. </w:t>
      </w:r>
    </w:p>
    <w:p w14:paraId="370D9F60"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20A7EA83" w14:textId="2C039A2A" w:rsidR="003915E3" w:rsidRPr="003137EA" w:rsidRDefault="003915E3" w:rsidP="00C34E03">
      <w:pPr>
        <w:numPr>
          <w:ilvl w:val="1"/>
          <w:numId w:val="6"/>
        </w:numPr>
        <w:spacing w:after="0" w:line="276" w:lineRule="auto"/>
        <w:ind w:left="726" w:right="31" w:hanging="722"/>
        <w:rPr>
          <w:rFonts w:ascii="Arial" w:hAnsi="Arial" w:cs="Arial"/>
          <w:color w:val="auto"/>
          <w:szCs w:val="24"/>
        </w:rPr>
      </w:pPr>
      <w:r w:rsidRPr="003137EA">
        <w:rPr>
          <w:rFonts w:ascii="Arial" w:hAnsi="Arial" w:cs="Arial"/>
          <w:color w:val="auto"/>
          <w:szCs w:val="24"/>
        </w:rPr>
        <w:t xml:space="preserve">The amount of investment return for each month of the projection period must be determined by applying the monthly equivalent of the rate of investment return determined in accordance with </w:t>
      </w:r>
      <w:r w:rsidR="00B1005B">
        <w:rPr>
          <w:rFonts w:ascii="Arial" w:hAnsi="Arial" w:cs="Arial"/>
          <w:color w:val="auto"/>
          <w:szCs w:val="24"/>
        </w:rPr>
        <w:t>p</w:t>
      </w:r>
      <w:r w:rsidRPr="003137EA">
        <w:rPr>
          <w:rFonts w:ascii="Arial" w:hAnsi="Arial" w:cs="Arial"/>
          <w:color w:val="auto"/>
          <w:szCs w:val="24"/>
        </w:rPr>
        <w:t xml:space="preserve">aragraph 4.2, </w:t>
      </w:r>
      <w:r w:rsidR="00B1005B">
        <w:rPr>
          <w:rFonts w:ascii="Arial" w:hAnsi="Arial" w:cs="Arial"/>
          <w:color w:val="auto"/>
          <w:szCs w:val="24"/>
        </w:rPr>
        <w:t>p</w:t>
      </w:r>
      <w:r w:rsidRPr="003137EA">
        <w:rPr>
          <w:rFonts w:ascii="Arial" w:hAnsi="Arial" w:cs="Arial"/>
          <w:color w:val="auto"/>
          <w:szCs w:val="24"/>
        </w:rPr>
        <w:t xml:space="preserve">aragraph 4.3 and, where applicable, </w:t>
      </w:r>
      <w:r w:rsidR="00B1005B">
        <w:rPr>
          <w:rFonts w:ascii="Arial" w:hAnsi="Arial" w:cs="Arial"/>
          <w:color w:val="auto"/>
          <w:szCs w:val="24"/>
        </w:rPr>
        <w:t>p</w:t>
      </w:r>
      <w:r w:rsidRPr="003137EA">
        <w:rPr>
          <w:rFonts w:ascii="Arial" w:hAnsi="Arial" w:cs="Arial"/>
          <w:color w:val="auto"/>
          <w:szCs w:val="24"/>
        </w:rPr>
        <w:t xml:space="preserve">aragraph 4.4 to the fund value. In the case of geared funds, the fund value for this purpose is the gross value of the assets of the fund less any borrowings of the fund. </w:t>
      </w:r>
    </w:p>
    <w:p w14:paraId="686B8F2A" w14:textId="77777777" w:rsidR="003915E3" w:rsidRPr="003137EA" w:rsidRDefault="003915E3" w:rsidP="00C34E03">
      <w:pPr>
        <w:spacing w:after="0" w:line="276" w:lineRule="auto"/>
        <w:ind w:left="19" w:firstLine="0"/>
        <w:rPr>
          <w:rFonts w:ascii="Arial" w:hAnsi="Arial" w:cs="Arial"/>
          <w:color w:val="auto"/>
          <w:szCs w:val="24"/>
        </w:rPr>
      </w:pPr>
    </w:p>
    <w:p w14:paraId="7AD573A2" w14:textId="35A96B3E" w:rsidR="004A1264" w:rsidRPr="004A1264" w:rsidRDefault="003915E3" w:rsidP="00C34E03">
      <w:pPr>
        <w:pStyle w:val="Heading3"/>
        <w:ind w:left="709" w:hanging="709"/>
      </w:pPr>
      <w:bookmarkStart w:id="4" w:name="_Toc109742778"/>
      <w:r w:rsidRPr="003137EA">
        <w:t xml:space="preserve">Assumed investment return </w:t>
      </w:r>
      <w:r w:rsidR="00662DFE">
        <w:t>–</w:t>
      </w:r>
      <w:r w:rsidRPr="003137EA">
        <w:t xml:space="preserve"> unfavourable scenario</w:t>
      </w:r>
      <w:bookmarkEnd w:id="4"/>
    </w:p>
    <w:p w14:paraId="1023E8C5" w14:textId="420AFEC4"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 xml:space="preserve">5.1  </w:t>
      </w:r>
      <w:r w:rsidRPr="003137EA">
        <w:rPr>
          <w:rFonts w:ascii="Arial" w:hAnsi="Arial" w:cs="Arial"/>
          <w:color w:val="auto"/>
          <w:szCs w:val="24"/>
        </w:rPr>
        <w:tab/>
        <w:t xml:space="preserve">As mentioned above, </w:t>
      </w:r>
      <w:r w:rsidR="004A1264">
        <w:rPr>
          <w:rFonts w:ascii="Arial" w:hAnsi="Arial" w:cs="Arial"/>
          <w:color w:val="auto"/>
          <w:szCs w:val="24"/>
        </w:rPr>
        <w:t>r</w:t>
      </w:r>
      <w:r w:rsidRPr="003137EA">
        <w:rPr>
          <w:rFonts w:ascii="Arial" w:hAnsi="Arial" w:cs="Arial"/>
          <w:color w:val="auto"/>
          <w:szCs w:val="24"/>
        </w:rPr>
        <w:t>egulation 34 paragraph (1) provides that in the case of</w:t>
      </w:r>
      <w:r w:rsidR="0016293A" w:rsidRPr="003137EA">
        <w:rPr>
          <w:rFonts w:ascii="Arial" w:hAnsi="Arial" w:cs="Arial"/>
          <w:color w:val="auto"/>
          <w:szCs w:val="24"/>
        </w:rPr>
        <w:t xml:space="preserve"> a</w:t>
      </w:r>
      <w:r w:rsidRPr="003137EA">
        <w:rPr>
          <w:rFonts w:ascii="Arial" w:hAnsi="Arial" w:cs="Arial"/>
          <w:color w:val="auto"/>
          <w:szCs w:val="24"/>
        </w:rPr>
        <w:t xml:space="preserve"> </w:t>
      </w:r>
      <w:r w:rsidR="0016293A" w:rsidRPr="003137EA">
        <w:rPr>
          <w:rFonts w:ascii="Arial" w:hAnsi="Arial" w:cs="Arial"/>
          <w:color w:val="auto"/>
          <w:szCs w:val="24"/>
        </w:rPr>
        <w:t>PBS</w:t>
      </w:r>
      <w:r w:rsidRPr="003137EA">
        <w:rPr>
          <w:rFonts w:ascii="Arial" w:hAnsi="Arial" w:cs="Arial"/>
          <w:color w:val="auto"/>
          <w:szCs w:val="24"/>
        </w:rPr>
        <w:t xml:space="preserve"> based on economic scenarios, the </w:t>
      </w:r>
      <w:r w:rsidR="0016293A" w:rsidRPr="003137EA">
        <w:rPr>
          <w:rFonts w:ascii="Arial" w:hAnsi="Arial" w:cs="Arial"/>
          <w:color w:val="auto"/>
          <w:szCs w:val="24"/>
        </w:rPr>
        <w:t>PBS</w:t>
      </w:r>
      <w:r w:rsidRPr="003137EA">
        <w:rPr>
          <w:rFonts w:ascii="Arial" w:hAnsi="Arial" w:cs="Arial"/>
          <w:color w:val="auto"/>
          <w:szCs w:val="24"/>
        </w:rPr>
        <w:t xml:space="preserve"> should also include a projection based on an unfavourable scenario, along with the best estimate projection.</w:t>
      </w:r>
    </w:p>
    <w:p w14:paraId="4CA58BAE" w14:textId="77777777" w:rsidR="003915E3" w:rsidRPr="003137EA" w:rsidRDefault="003915E3" w:rsidP="00C34E03">
      <w:pPr>
        <w:spacing w:after="0" w:line="276" w:lineRule="auto"/>
        <w:ind w:left="734" w:right="31"/>
        <w:rPr>
          <w:rFonts w:ascii="Arial" w:hAnsi="Arial" w:cs="Arial"/>
          <w:color w:val="auto"/>
          <w:szCs w:val="24"/>
        </w:rPr>
      </w:pPr>
    </w:p>
    <w:p w14:paraId="05EC824F" w14:textId="481BC5BD"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5.2   The principle to be observed in calculating the pension projection in the unfavourable scenario is that gross investment returns pre-retirement are assumed to be 1% p.a. (100 basis points) less than assumed in the best estimate projection</w:t>
      </w:r>
      <w:r w:rsidR="004B1B63">
        <w:rPr>
          <w:rFonts w:ascii="Arial" w:hAnsi="Arial" w:cs="Arial"/>
          <w:color w:val="auto"/>
          <w:szCs w:val="24"/>
        </w:rPr>
        <w:t>.</w:t>
      </w:r>
    </w:p>
    <w:p w14:paraId="569ED59B" w14:textId="77777777" w:rsidR="003915E3" w:rsidRPr="003137EA" w:rsidRDefault="003915E3" w:rsidP="00C34E03">
      <w:pPr>
        <w:spacing w:after="0" w:line="276" w:lineRule="auto"/>
        <w:ind w:left="734" w:right="31"/>
        <w:rPr>
          <w:rFonts w:ascii="Arial" w:hAnsi="Arial" w:cs="Arial"/>
          <w:color w:val="auto"/>
          <w:szCs w:val="24"/>
        </w:rPr>
      </w:pPr>
    </w:p>
    <w:p w14:paraId="26758C14" w14:textId="77777777"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5.3</w:t>
      </w:r>
      <w:r w:rsidRPr="003137EA">
        <w:rPr>
          <w:rFonts w:ascii="Arial" w:hAnsi="Arial" w:cs="Arial"/>
          <w:color w:val="auto"/>
          <w:szCs w:val="24"/>
        </w:rPr>
        <w:tab/>
        <w:t>For the avoidance of doubt, the unfavourable scenario may include a negative return assumption for some asset classes for some time periods.</w:t>
      </w:r>
    </w:p>
    <w:p w14:paraId="068B9CE8" w14:textId="77777777" w:rsidR="003915E3" w:rsidRPr="003137EA" w:rsidRDefault="003915E3" w:rsidP="00C34E03">
      <w:pPr>
        <w:pStyle w:val="Default"/>
        <w:spacing w:line="276" w:lineRule="auto"/>
        <w:rPr>
          <w:color w:val="auto"/>
        </w:rPr>
      </w:pPr>
    </w:p>
    <w:p w14:paraId="1A5FC81A" w14:textId="1E31C151" w:rsidR="004A1264" w:rsidRPr="004A1264" w:rsidRDefault="003915E3" w:rsidP="00C34E03">
      <w:pPr>
        <w:pStyle w:val="Heading3"/>
        <w:ind w:left="709" w:hanging="709"/>
      </w:pPr>
      <w:bookmarkStart w:id="5" w:name="_Toc109742779"/>
      <w:r w:rsidRPr="003137EA">
        <w:t>Retirement benefits</w:t>
      </w:r>
      <w:bookmarkEnd w:id="5"/>
      <w:r w:rsidRPr="003137EA">
        <w:t xml:space="preserve"> </w:t>
      </w:r>
    </w:p>
    <w:p w14:paraId="0A314A8F" w14:textId="01021C34"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6.1</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Where retirement benefits are illustrated as a percentage or multiple of final salary, or of final pensionable salary, such benefits must be determined on the assumption that the current salary or current pensionable salary, as appropriate, escalates at a compound rate of </w:t>
      </w:r>
      <w:r w:rsidR="00584419">
        <w:rPr>
          <w:rFonts w:ascii="Arial" w:hAnsi="Arial" w:cs="Arial"/>
          <w:color w:val="auto"/>
          <w:szCs w:val="24"/>
        </w:rPr>
        <w:t>3%</w:t>
      </w:r>
      <w:r w:rsidRPr="003137EA">
        <w:rPr>
          <w:rFonts w:ascii="Arial" w:hAnsi="Arial" w:cs="Arial"/>
          <w:color w:val="auto"/>
          <w:szCs w:val="24"/>
        </w:rPr>
        <w:t xml:space="preserve"> per annum. Where benefits in monetary form are expressed in terms of current value, such benefits must be determined by deflating the projected retirement benefits to the effective date at a compound rate of </w:t>
      </w:r>
      <w:r w:rsidR="00584419">
        <w:rPr>
          <w:rFonts w:ascii="Arial" w:hAnsi="Arial" w:cs="Arial"/>
          <w:color w:val="auto"/>
          <w:szCs w:val="24"/>
        </w:rPr>
        <w:t>3%</w:t>
      </w:r>
      <w:r w:rsidRPr="003137EA">
        <w:rPr>
          <w:rFonts w:ascii="Arial" w:hAnsi="Arial" w:cs="Arial"/>
          <w:color w:val="auto"/>
          <w:szCs w:val="24"/>
        </w:rPr>
        <w:t xml:space="preserve"> per annum. </w:t>
      </w:r>
    </w:p>
    <w:p w14:paraId="20060839"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2C022F76" w14:textId="2454E2B6" w:rsidR="003915E3" w:rsidRPr="004A1264" w:rsidRDefault="003915E3" w:rsidP="00C34E03">
      <w:pPr>
        <w:pStyle w:val="Heading3"/>
        <w:ind w:left="709" w:hanging="709"/>
      </w:pPr>
      <w:bookmarkStart w:id="6" w:name="_Toc109742780"/>
      <w:r w:rsidRPr="003137EA">
        <w:t>Contribution increases</w:t>
      </w:r>
      <w:bookmarkEnd w:id="6"/>
      <w:r w:rsidRPr="003137EA">
        <w:t xml:space="preserve"> </w:t>
      </w:r>
      <w:r w:rsidRPr="00C34E03">
        <w:t xml:space="preserve"> </w:t>
      </w:r>
    </w:p>
    <w:p w14:paraId="6AE381B4" w14:textId="6134E35D" w:rsidR="003915E3" w:rsidRPr="003137EA" w:rsidRDefault="003915E3" w:rsidP="00C34E03">
      <w:pPr>
        <w:spacing w:after="0" w:line="276" w:lineRule="auto"/>
        <w:ind w:right="140"/>
        <w:rPr>
          <w:rFonts w:ascii="Arial" w:hAnsi="Arial" w:cs="Arial"/>
          <w:color w:val="auto"/>
          <w:szCs w:val="24"/>
        </w:rPr>
      </w:pPr>
      <w:r w:rsidRPr="003137EA">
        <w:rPr>
          <w:rFonts w:ascii="Arial" w:hAnsi="Arial" w:cs="Arial"/>
          <w:color w:val="auto"/>
          <w:szCs w:val="24"/>
        </w:rPr>
        <w:t>7.1</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Where contribution increases apply, the effect of these must be reflected in the projected retirement benefits on the basis of best estimates of the determinant of the increases which are consistent with the assumed investment return, subject to the proviso that the rate of contribution increase assumed must not exceed the rate of deflation required for the purposes of </w:t>
      </w:r>
      <w:r w:rsidR="00B1005B">
        <w:rPr>
          <w:rFonts w:ascii="Arial" w:hAnsi="Arial" w:cs="Arial"/>
          <w:color w:val="auto"/>
          <w:szCs w:val="24"/>
        </w:rPr>
        <w:t>p</w:t>
      </w:r>
      <w:r w:rsidRPr="003137EA">
        <w:rPr>
          <w:rFonts w:ascii="Arial" w:hAnsi="Arial" w:cs="Arial"/>
          <w:color w:val="auto"/>
          <w:szCs w:val="24"/>
        </w:rPr>
        <w:t xml:space="preserve">aragraph 6.1. </w:t>
      </w:r>
    </w:p>
    <w:p w14:paraId="34F3CD4E"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0817E701" w14:textId="0AEEF72C"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lastRenderedPageBreak/>
        <w:t>7.2</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Where, for the purposes of </w:t>
      </w:r>
      <w:r w:rsidR="00B1005B">
        <w:rPr>
          <w:rFonts w:ascii="Arial" w:hAnsi="Arial" w:cs="Arial"/>
          <w:color w:val="auto"/>
          <w:szCs w:val="24"/>
        </w:rPr>
        <w:t>p</w:t>
      </w:r>
      <w:r w:rsidRPr="003137EA">
        <w:rPr>
          <w:rFonts w:ascii="Arial" w:hAnsi="Arial" w:cs="Arial"/>
          <w:color w:val="auto"/>
          <w:szCs w:val="24"/>
        </w:rPr>
        <w:t xml:space="preserve">aragraph 7.1 or otherwise, it is necessary to make assumptions about the rate of change in consumer prices or the rate of change in general earnings, the rate of change in general earnings used must be </w:t>
      </w:r>
      <w:r w:rsidR="00584419">
        <w:rPr>
          <w:rFonts w:ascii="Arial" w:hAnsi="Arial" w:cs="Arial"/>
          <w:color w:val="auto"/>
          <w:szCs w:val="24"/>
        </w:rPr>
        <w:t>3%</w:t>
      </w:r>
      <w:r w:rsidRPr="003137EA">
        <w:rPr>
          <w:rFonts w:ascii="Arial" w:hAnsi="Arial" w:cs="Arial"/>
          <w:color w:val="auto"/>
          <w:szCs w:val="24"/>
        </w:rPr>
        <w:t xml:space="preserve"> per annum, while the rate of change in consumer prices used must be </w:t>
      </w:r>
      <w:r w:rsidR="00A07E2C">
        <w:rPr>
          <w:rFonts w:ascii="Arial" w:hAnsi="Arial" w:cs="Arial"/>
          <w:color w:val="auto"/>
          <w:szCs w:val="24"/>
        </w:rPr>
        <w:t>2%</w:t>
      </w:r>
      <w:r w:rsidRPr="003137EA">
        <w:rPr>
          <w:rFonts w:ascii="Arial" w:hAnsi="Arial" w:cs="Arial"/>
          <w:color w:val="auto"/>
          <w:szCs w:val="24"/>
        </w:rPr>
        <w:t xml:space="preserve"> per annum. </w:t>
      </w:r>
    </w:p>
    <w:p w14:paraId="1805D7A6"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5DB3019D" w14:textId="24EE1A81" w:rsidR="002D2E7D" w:rsidRPr="002D2E7D" w:rsidRDefault="003915E3" w:rsidP="00C34E03">
      <w:pPr>
        <w:pStyle w:val="Heading3"/>
        <w:ind w:left="709" w:hanging="709"/>
      </w:pPr>
      <w:bookmarkStart w:id="7" w:name="_Toc109742781"/>
      <w:r w:rsidRPr="003137EA">
        <w:t>Annuity rates</w:t>
      </w:r>
      <w:bookmarkEnd w:id="7"/>
      <w:r w:rsidRPr="003137EA">
        <w:t xml:space="preserve"> </w:t>
      </w:r>
    </w:p>
    <w:p w14:paraId="5D19AEB1" w14:textId="36545486" w:rsidR="003915E3" w:rsidRPr="003137EA" w:rsidRDefault="003915E3" w:rsidP="00C34E03">
      <w:pPr>
        <w:spacing w:after="0" w:line="276" w:lineRule="auto"/>
        <w:ind w:left="734" w:right="88"/>
        <w:rPr>
          <w:rFonts w:ascii="Arial" w:hAnsi="Arial" w:cs="Arial"/>
          <w:color w:val="auto"/>
          <w:szCs w:val="24"/>
        </w:rPr>
      </w:pPr>
      <w:r w:rsidRPr="003137EA">
        <w:rPr>
          <w:rFonts w:ascii="Arial" w:hAnsi="Arial" w:cs="Arial"/>
          <w:color w:val="auto"/>
          <w:szCs w:val="24"/>
        </w:rPr>
        <w:t>8.1</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Except where </w:t>
      </w:r>
      <w:r w:rsidR="00B1005B">
        <w:rPr>
          <w:rFonts w:ascii="Arial" w:hAnsi="Arial" w:cs="Arial"/>
          <w:color w:val="auto"/>
          <w:szCs w:val="24"/>
        </w:rPr>
        <w:t>p</w:t>
      </w:r>
      <w:r w:rsidRPr="003137EA">
        <w:rPr>
          <w:rFonts w:ascii="Arial" w:hAnsi="Arial" w:cs="Arial"/>
          <w:color w:val="auto"/>
          <w:szCs w:val="24"/>
        </w:rPr>
        <w:t xml:space="preserve">aragraph 8.7 or </w:t>
      </w:r>
      <w:r w:rsidR="00B1005B">
        <w:rPr>
          <w:rFonts w:ascii="Arial" w:hAnsi="Arial" w:cs="Arial"/>
          <w:color w:val="auto"/>
          <w:szCs w:val="24"/>
        </w:rPr>
        <w:t>p</w:t>
      </w:r>
      <w:r w:rsidRPr="003137EA">
        <w:rPr>
          <w:rFonts w:ascii="Arial" w:hAnsi="Arial" w:cs="Arial"/>
          <w:color w:val="auto"/>
          <w:szCs w:val="24"/>
        </w:rPr>
        <w:t xml:space="preserve">aragraph 8.8 applies, the following must be used in making an annuity calculation: </w:t>
      </w:r>
    </w:p>
    <w:p w14:paraId="3D4FACD8" w14:textId="77777777" w:rsidR="003915E3" w:rsidRPr="003137EA" w:rsidRDefault="003915E3" w:rsidP="00C34E03">
      <w:pPr>
        <w:spacing w:after="0" w:line="276" w:lineRule="auto"/>
        <w:ind w:left="19" w:right="88" w:firstLine="0"/>
        <w:rPr>
          <w:rFonts w:ascii="Arial" w:hAnsi="Arial" w:cs="Arial"/>
          <w:color w:val="auto"/>
          <w:szCs w:val="24"/>
        </w:rPr>
      </w:pPr>
      <w:r w:rsidRPr="003137EA">
        <w:rPr>
          <w:rFonts w:ascii="Arial" w:hAnsi="Arial" w:cs="Arial"/>
          <w:color w:val="auto"/>
          <w:szCs w:val="24"/>
        </w:rPr>
        <w:t xml:space="preserve"> </w:t>
      </w:r>
    </w:p>
    <w:p w14:paraId="34A6AD91" w14:textId="2F64F28B" w:rsidR="003915E3" w:rsidRPr="003137EA" w:rsidRDefault="00222FE6" w:rsidP="00C34E03">
      <w:pPr>
        <w:numPr>
          <w:ilvl w:val="0"/>
          <w:numId w:val="8"/>
        </w:numPr>
        <w:spacing w:after="0" w:line="276" w:lineRule="auto"/>
        <w:ind w:left="1276" w:right="88" w:hanging="567"/>
        <w:rPr>
          <w:rFonts w:ascii="Arial" w:hAnsi="Arial" w:cs="Arial"/>
          <w:color w:val="auto"/>
          <w:szCs w:val="24"/>
        </w:rPr>
      </w:pPr>
      <w:r>
        <w:rPr>
          <w:rFonts w:ascii="Arial" w:hAnsi="Arial" w:cs="Arial"/>
          <w:color w:val="auto"/>
          <w:szCs w:val="24"/>
        </w:rPr>
        <w:t>A</w:t>
      </w:r>
      <w:r w:rsidR="003915E3" w:rsidRPr="003137EA">
        <w:rPr>
          <w:rFonts w:ascii="Arial" w:hAnsi="Arial" w:cs="Arial"/>
          <w:color w:val="auto"/>
          <w:szCs w:val="24"/>
        </w:rPr>
        <w:t xml:space="preserve"> maximum interest rate of </w:t>
      </w:r>
      <w:r w:rsidR="009C01E2">
        <w:rPr>
          <w:rFonts w:ascii="Arial" w:hAnsi="Arial" w:cs="Arial"/>
          <w:color w:val="auto"/>
          <w:szCs w:val="24"/>
        </w:rPr>
        <w:t>2.90%</w:t>
      </w:r>
      <w:r w:rsidR="003915E3" w:rsidRPr="003137EA">
        <w:rPr>
          <w:rFonts w:ascii="Arial" w:hAnsi="Arial" w:cs="Arial"/>
          <w:color w:val="auto"/>
          <w:szCs w:val="24"/>
        </w:rPr>
        <w:t xml:space="preserve"> per annum (which is deemed to be net of provision for expenses)</w:t>
      </w:r>
      <w:r>
        <w:rPr>
          <w:rFonts w:ascii="Arial" w:hAnsi="Arial" w:cs="Arial"/>
          <w:color w:val="auto"/>
          <w:szCs w:val="24"/>
        </w:rPr>
        <w:t>.</w:t>
      </w:r>
    </w:p>
    <w:p w14:paraId="795D5802" w14:textId="77777777" w:rsidR="003915E3" w:rsidRPr="003137EA" w:rsidRDefault="003915E3" w:rsidP="00C34E03">
      <w:pPr>
        <w:spacing w:after="0" w:line="276" w:lineRule="auto"/>
        <w:ind w:left="1276" w:right="88" w:hanging="567"/>
        <w:rPr>
          <w:rFonts w:ascii="Arial" w:hAnsi="Arial" w:cs="Arial"/>
          <w:color w:val="auto"/>
          <w:szCs w:val="24"/>
        </w:rPr>
      </w:pPr>
      <w:r w:rsidRPr="003137EA">
        <w:rPr>
          <w:rFonts w:ascii="Arial" w:hAnsi="Arial" w:cs="Arial"/>
          <w:color w:val="auto"/>
          <w:szCs w:val="24"/>
        </w:rPr>
        <w:t xml:space="preserve"> </w:t>
      </w:r>
    </w:p>
    <w:p w14:paraId="0D0637BF" w14:textId="7BEF77F5" w:rsidR="003915E3" w:rsidRPr="003137EA" w:rsidRDefault="00222FE6" w:rsidP="00C34E03">
      <w:pPr>
        <w:numPr>
          <w:ilvl w:val="0"/>
          <w:numId w:val="8"/>
        </w:numPr>
        <w:spacing w:after="0" w:line="276" w:lineRule="auto"/>
        <w:ind w:left="1276" w:right="88" w:hanging="567"/>
        <w:rPr>
          <w:rFonts w:ascii="Arial" w:hAnsi="Arial" w:cs="Arial"/>
          <w:color w:val="auto"/>
          <w:szCs w:val="24"/>
        </w:rPr>
      </w:pPr>
      <w:r>
        <w:rPr>
          <w:rFonts w:ascii="Arial" w:hAnsi="Arial" w:cs="Arial"/>
          <w:color w:val="auto"/>
          <w:szCs w:val="24"/>
        </w:rPr>
        <w:t>F</w:t>
      </w:r>
      <w:r w:rsidR="003915E3" w:rsidRPr="003137EA">
        <w:rPr>
          <w:rFonts w:ascii="Arial" w:hAnsi="Arial" w:cs="Arial"/>
          <w:color w:val="auto"/>
          <w:szCs w:val="24"/>
        </w:rPr>
        <w:t>emale mortality for the retiree (irrespective of the actual gender of the retiree) and male mortality for the retiree’s spouse or civil partner</w:t>
      </w:r>
      <w:r>
        <w:rPr>
          <w:rFonts w:ascii="Arial" w:hAnsi="Arial" w:cs="Arial"/>
          <w:color w:val="auto"/>
          <w:szCs w:val="24"/>
        </w:rPr>
        <w:t>.</w:t>
      </w:r>
    </w:p>
    <w:p w14:paraId="429546F8" w14:textId="77777777" w:rsidR="003915E3" w:rsidRPr="003137EA" w:rsidRDefault="003915E3" w:rsidP="00C34E03">
      <w:pPr>
        <w:spacing w:after="0" w:line="276" w:lineRule="auto"/>
        <w:ind w:left="1276" w:right="88" w:hanging="567"/>
        <w:rPr>
          <w:rFonts w:ascii="Arial" w:hAnsi="Arial" w:cs="Arial"/>
          <w:color w:val="auto"/>
          <w:szCs w:val="24"/>
        </w:rPr>
      </w:pPr>
      <w:r w:rsidRPr="003137EA">
        <w:rPr>
          <w:rFonts w:ascii="Arial" w:hAnsi="Arial" w:cs="Arial"/>
          <w:color w:val="auto"/>
          <w:szCs w:val="24"/>
        </w:rPr>
        <w:t xml:space="preserve"> </w:t>
      </w:r>
    </w:p>
    <w:p w14:paraId="73D074DA" w14:textId="2CD9F79A" w:rsidR="003915E3" w:rsidRDefault="00222FE6" w:rsidP="00C34E03">
      <w:pPr>
        <w:numPr>
          <w:ilvl w:val="0"/>
          <w:numId w:val="8"/>
        </w:numPr>
        <w:spacing w:after="0" w:line="276" w:lineRule="auto"/>
        <w:ind w:left="1276" w:right="88" w:hanging="567"/>
        <w:rPr>
          <w:rFonts w:ascii="Arial" w:hAnsi="Arial" w:cs="Arial"/>
          <w:color w:val="auto"/>
          <w:szCs w:val="24"/>
        </w:rPr>
      </w:pPr>
      <w:r>
        <w:rPr>
          <w:rFonts w:ascii="Arial" w:hAnsi="Arial" w:cs="Arial"/>
          <w:color w:val="auto"/>
          <w:szCs w:val="24"/>
        </w:rPr>
        <w:t>T</w:t>
      </w:r>
      <w:r w:rsidR="003915E3" w:rsidRPr="003137EA">
        <w:rPr>
          <w:rFonts w:ascii="Arial" w:hAnsi="Arial" w:cs="Arial"/>
          <w:color w:val="auto"/>
          <w:szCs w:val="24"/>
        </w:rPr>
        <w:t xml:space="preserve">he following mortality assumptions: </w:t>
      </w:r>
    </w:p>
    <w:p w14:paraId="7B8D4D22" w14:textId="77777777" w:rsidR="002D2E7D" w:rsidRPr="003137EA" w:rsidRDefault="002D2E7D" w:rsidP="00C34E03">
      <w:pPr>
        <w:spacing w:after="0" w:line="276" w:lineRule="auto"/>
        <w:ind w:left="0" w:right="88" w:firstLine="0"/>
        <w:rPr>
          <w:rFonts w:ascii="Arial" w:hAnsi="Arial" w:cs="Arial"/>
          <w:color w:val="auto"/>
          <w:szCs w:val="24"/>
        </w:rPr>
      </w:pPr>
    </w:p>
    <w:p w14:paraId="1F1FCA74" w14:textId="767FE245" w:rsidR="003915E3" w:rsidRPr="003137EA" w:rsidRDefault="003915E3" w:rsidP="00C34E03">
      <w:pPr>
        <w:tabs>
          <w:tab w:val="center" w:pos="3038"/>
          <w:tab w:val="left" w:pos="3261"/>
          <w:tab w:val="center" w:pos="5638"/>
        </w:tabs>
        <w:spacing w:after="0" w:line="276" w:lineRule="auto"/>
        <w:ind w:left="1276" w:right="88" w:hanging="567"/>
        <w:rPr>
          <w:rFonts w:ascii="Arial" w:hAnsi="Arial" w:cs="Arial"/>
          <w:color w:val="auto"/>
          <w:szCs w:val="24"/>
        </w:rPr>
      </w:pPr>
      <w:r w:rsidRPr="003137EA">
        <w:rPr>
          <w:rFonts w:ascii="Arial" w:eastAsia="Calibri" w:hAnsi="Arial" w:cs="Arial"/>
          <w:color w:val="auto"/>
          <w:szCs w:val="24"/>
        </w:rPr>
        <w:tab/>
      </w:r>
      <w:r w:rsidRPr="003137EA">
        <w:rPr>
          <w:rFonts w:ascii="Arial" w:hAnsi="Arial" w:cs="Arial"/>
          <w:color w:val="auto"/>
          <w:szCs w:val="24"/>
        </w:rPr>
        <w:t>Female mortality:</w:t>
      </w:r>
      <w:r w:rsidR="002D2E7D">
        <w:rPr>
          <w:rFonts w:ascii="Arial" w:hAnsi="Arial" w:cs="Arial"/>
          <w:color w:val="auto"/>
          <w:szCs w:val="24"/>
        </w:rPr>
        <w:tab/>
      </w:r>
      <w:r w:rsidRPr="003137EA">
        <w:rPr>
          <w:rFonts w:ascii="Arial" w:hAnsi="Arial" w:cs="Arial"/>
          <w:color w:val="auto"/>
          <w:szCs w:val="24"/>
        </w:rPr>
        <w:t>50% ILT15 (Females)</w:t>
      </w:r>
      <w:r w:rsidR="003342C3">
        <w:rPr>
          <w:rFonts w:ascii="Arial" w:hAnsi="Arial" w:cs="Arial"/>
          <w:color w:val="auto"/>
          <w:szCs w:val="24"/>
        </w:rPr>
        <w:t>,</w:t>
      </w:r>
      <w:r w:rsidRPr="003137EA">
        <w:rPr>
          <w:rFonts w:ascii="Arial" w:hAnsi="Arial" w:cs="Arial"/>
          <w:color w:val="auto"/>
          <w:szCs w:val="24"/>
        </w:rPr>
        <w:t xml:space="preserve"> and </w:t>
      </w:r>
    </w:p>
    <w:p w14:paraId="21A69657" w14:textId="363D03A4" w:rsidR="003915E3" w:rsidRPr="003137EA" w:rsidRDefault="003915E3" w:rsidP="00C34E03">
      <w:pPr>
        <w:tabs>
          <w:tab w:val="center" w:pos="2932"/>
          <w:tab w:val="left" w:pos="3261"/>
          <w:tab w:val="center" w:pos="5551"/>
        </w:tabs>
        <w:spacing w:after="0" w:line="276" w:lineRule="auto"/>
        <w:ind w:left="1276" w:right="88" w:hanging="567"/>
        <w:rPr>
          <w:rFonts w:ascii="Arial" w:hAnsi="Arial" w:cs="Arial"/>
          <w:color w:val="auto"/>
          <w:szCs w:val="24"/>
        </w:rPr>
      </w:pPr>
      <w:r w:rsidRPr="003137EA">
        <w:rPr>
          <w:rFonts w:ascii="Arial" w:eastAsia="Calibri" w:hAnsi="Arial" w:cs="Arial"/>
          <w:color w:val="auto"/>
          <w:szCs w:val="24"/>
        </w:rPr>
        <w:tab/>
      </w:r>
      <w:r w:rsidRPr="003137EA">
        <w:rPr>
          <w:rFonts w:ascii="Arial" w:hAnsi="Arial" w:cs="Arial"/>
          <w:color w:val="auto"/>
          <w:szCs w:val="24"/>
        </w:rPr>
        <w:t>Male mortality:</w:t>
      </w:r>
      <w:r w:rsidR="002D2E7D">
        <w:rPr>
          <w:rFonts w:ascii="Arial" w:hAnsi="Arial" w:cs="Arial"/>
          <w:color w:val="auto"/>
          <w:szCs w:val="24"/>
        </w:rPr>
        <w:tab/>
      </w:r>
      <w:r w:rsidR="002D2E7D">
        <w:rPr>
          <w:rFonts w:ascii="Arial" w:hAnsi="Arial" w:cs="Arial"/>
          <w:color w:val="auto"/>
          <w:szCs w:val="24"/>
        </w:rPr>
        <w:tab/>
      </w:r>
      <w:r w:rsidRPr="003137EA">
        <w:rPr>
          <w:rFonts w:ascii="Arial" w:hAnsi="Arial" w:cs="Arial"/>
          <w:color w:val="auto"/>
          <w:szCs w:val="24"/>
        </w:rPr>
        <w:t>42% ILT15 (Males)</w:t>
      </w:r>
      <w:r w:rsidR="00222FE6">
        <w:rPr>
          <w:rFonts w:ascii="Arial" w:hAnsi="Arial" w:cs="Arial"/>
          <w:color w:val="auto"/>
          <w:szCs w:val="24"/>
        </w:rPr>
        <w:t>.</w:t>
      </w:r>
      <w:r w:rsidRPr="003137EA">
        <w:rPr>
          <w:rFonts w:ascii="Arial" w:hAnsi="Arial" w:cs="Arial"/>
          <w:color w:val="auto"/>
          <w:szCs w:val="24"/>
        </w:rPr>
        <w:t xml:space="preserve"> </w:t>
      </w:r>
    </w:p>
    <w:p w14:paraId="0EE2450D" w14:textId="77777777" w:rsidR="003915E3" w:rsidRPr="003137EA" w:rsidRDefault="003915E3" w:rsidP="00C34E03">
      <w:pPr>
        <w:spacing w:after="0" w:line="276" w:lineRule="auto"/>
        <w:ind w:left="1276" w:right="88" w:hanging="567"/>
        <w:rPr>
          <w:rFonts w:ascii="Arial" w:hAnsi="Arial" w:cs="Arial"/>
          <w:color w:val="auto"/>
          <w:szCs w:val="24"/>
        </w:rPr>
      </w:pPr>
      <w:r w:rsidRPr="003137EA">
        <w:rPr>
          <w:rFonts w:ascii="Arial" w:hAnsi="Arial" w:cs="Arial"/>
          <w:color w:val="auto"/>
          <w:szCs w:val="24"/>
        </w:rPr>
        <w:t xml:space="preserve"> </w:t>
      </w:r>
    </w:p>
    <w:p w14:paraId="197FB51A" w14:textId="5DC18038" w:rsidR="003915E3" w:rsidRPr="003137EA" w:rsidRDefault="00222FE6" w:rsidP="00C34E03">
      <w:pPr>
        <w:numPr>
          <w:ilvl w:val="0"/>
          <w:numId w:val="8"/>
        </w:numPr>
        <w:spacing w:after="0" w:line="276" w:lineRule="auto"/>
        <w:ind w:left="1276" w:right="88" w:hanging="567"/>
        <w:rPr>
          <w:rFonts w:ascii="Arial" w:hAnsi="Arial" w:cs="Arial"/>
          <w:color w:val="auto"/>
          <w:szCs w:val="24"/>
        </w:rPr>
      </w:pPr>
      <w:r>
        <w:rPr>
          <w:rFonts w:ascii="Arial" w:hAnsi="Arial" w:cs="Arial"/>
          <w:color w:val="auto"/>
          <w:szCs w:val="24"/>
        </w:rPr>
        <w:t>A</w:t>
      </w:r>
      <w:r w:rsidR="003915E3" w:rsidRPr="003137EA">
        <w:rPr>
          <w:rFonts w:ascii="Arial" w:hAnsi="Arial" w:cs="Arial"/>
          <w:color w:val="auto"/>
          <w:szCs w:val="24"/>
        </w:rPr>
        <w:t xml:space="preserve">ssume that spouses or civil partners are the same age, or where actual age is known this may also be used. </w:t>
      </w:r>
    </w:p>
    <w:p w14:paraId="535374D2" w14:textId="77777777" w:rsidR="003915E3" w:rsidRPr="003137EA" w:rsidRDefault="003915E3" w:rsidP="00C34E03">
      <w:pPr>
        <w:spacing w:after="0" w:line="276" w:lineRule="auto"/>
        <w:ind w:left="19" w:right="88" w:firstLine="0"/>
        <w:rPr>
          <w:rFonts w:ascii="Arial" w:hAnsi="Arial" w:cs="Arial"/>
          <w:color w:val="auto"/>
          <w:szCs w:val="24"/>
        </w:rPr>
      </w:pPr>
      <w:r w:rsidRPr="003137EA">
        <w:rPr>
          <w:rFonts w:ascii="Arial" w:hAnsi="Arial" w:cs="Arial"/>
          <w:color w:val="auto"/>
          <w:szCs w:val="24"/>
        </w:rPr>
        <w:t xml:space="preserve"> </w:t>
      </w:r>
    </w:p>
    <w:p w14:paraId="43B575FA" w14:textId="6DC7FF74" w:rsidR="003915E3" w:rsidRPr="003137EA" w:rsidRDefault="003915E3" w:rsidP="00C34E03">
      <w:pPr>
        <w:numPr>
          <w:ilvl w:val="1"/>
          <w:numId w:val="9"/>
        </w:numPr>
        <w:spacing w:after="0" w:line="276" w:lineRule="auto"/>
        <w:ind w:left="726" w:right="88" w:hanging="726"/>
        <w:rPr>
          <w:rFonts w:ascii="Arial" w:hAnsi="Arial" w:cs="Arial"/>
          <w:color w:val="auto"/>
          <w:szCs w:val="24"/>
        </w:rPr>
      </w:pPr>
      <w:r w:rsidRPr="003137EA">
        <w:rPr>
          <w:rFonts w:ascii="Arial" w:hAnsi="Arial" w:cs="Arial"/>
          <w:color w:val="auto"/>
          <w:szCs w:val="24"/>
        </w:rPr>
        <w:t xml:space="preserve">Subject to </w:t>
      </w:r>
      <w:r w:rsidR="00B1005B">
        <w:rPr>
          <w:rFonts w:ascii="Arial" w:hAnsi="Arial" w:cs="Arial"/>
          <w:color w:val="auto"/>
          <w:szCs w:val="24"/>
        </w:rPr>
        <w:t>p</w:t>
      </w:r>
      <w:r w:rsidRPr="003137EA">
        <w:rPr>
          <w:rFonts w:ascii="Arial" w:hAnsi="Arial" w:cs="Arial"/>
          <w:color w:val="auto"/>
          <w:szCs w:val="24"/>
        </w:rPr>
        <w:t xml:space="preserve">aragraphs 8.7 and 8.8, provision for improving mortality beyond 2013 must be made by assuming that the price of both single and last survivor annuities will increase by 0.33% per annum compound for each calendar year after 2013. </w:t>
      </w:r>
    </w:p>
    <w:p w14:paraId="237BE1EC" w14:textId="77777777" w:rsidR="003915E3" w:rsidRPr="003137EA" w:rsidRDefault="003915E3" w:rsidP="00C34E03">
      <w:pPr>
        <w:spacing w:after="0" w:line="276" w:lineRule="auto"/>
        <w:ind w:left="726" w:hanging="726"/>
        <w:rPr>
          <w:rFonts w:ascii="Arial" w:hAnsi="Arial" w:cs="Arial"/>
          <w:color w:val="auto"/>
          <w:szCs w:val="24"/>
        </w:rPr>
      </w:pPr>
      <w:r w:rsidRPr="003137EA">
        <w:rPr>
          <w:rFonts w:ascii="Arial" w:hAnsi="Arial" w:cs="Arial"/>
          <w:color w:val="auto"/>
          <w:szCs w:val="24"/>
        </w:rPr>
        <w:t xml:space="preserve"> </w:t>
      </w:r>
    </w:p>
    <w:p w14:paraId="4F9CB1D7" w14:textId="7FDBAD8D" w:rsidR="003915E3" w:rsidRPr="003342C3" w:rsidRDefault="003915E3" w:rsidP="00C34E03">
      <w:pPr>
        <w:numPr>
          <w:ilvl w:val="1"/>
          <w:numId w:val="9"/>
        </w:numPr>
        <w:spacing w:after="0" w:line="276" w:lineRule="auto"/>
        <w:ind w:left="726" w:right="31" w:hanging="726"/>
        <w:rPr>
          <w:rFonts w:ascii="Arial" w:hAnsi="Arial" w:cs="Arial"/>
          <w:color w:val="auto"/>
          <w:szCs w:val="24"/>
        </w:rPr>
      </w:pPr>
      <w:r w:rsidRPr="003137EA">
        <w:rPr>
          <w:rFonts w:ascii="Arial" w:hAnsi="Arial" w:cs="Arial"/>
          <w:color w:val="auto"/>
          <w:szCs w:val="24"/>
        </w:rPr>
        <w:t xml:space="preserve">Any life expectancy stated in a </w:t>
      </w:r>
      <w:r w:rsidR="0016293A" w:rsidRPr="003137EA">
        <w:rPr>
          <w:rFonts w:ascii="Arial" w:hAnsi="Arial" w:cs="Arial"/>
          <w:color w:val="auto"/>
          <w:szCs w:val="24"/>
        </w:rPr>
        <w:t>PBS</w:t>
      </w:r>
      <w:r w:rsidRPr="003137EA">
        <w:rPr>
          <w:rFonts w:ascii="Arial" w:hAnsi="Arial" w:cs="Arial"/>
          <w:color w:val="auto"/>
          <w:szCs w:val="24"/>
        </w:rPr>
        <w:t xml:space="preserve"> must be determined in accordance with </w:t>
      </w:r>
      <w:r w:rsidR="00B1005B">
        <w:rPr>
          <w:rFonts w:ascii="Arial" w:hAnsi="Arial" w:cs="Arial"/>
          <w:color w:val="auto"/>
          <w:szCs w:val="24"/>
        </w:rPr>
        <w:t>p</w:t>
      </w:r>
      <w:r w:rsidRPr="003137EA">
        <w:rPr>
          <w:rFonts w:ascii="Arial" w:hAnsi="Arial" w:cs="Arial"/>
          <w:color w:val="auto"/>
          <w:szCs w:val="24"/>
        </w:rPr>
        <w:t xml:space="preserve">aragraph 8.1 and </w:t>
      </w:r>
      <w:r w:rsidR="00B1005B">
        <w:rPr>
          <w:rFonts w:ascii="Arial" w:hAnsi="Arial" w:cs="Arial"/>
          <w:color w:val="auto"/>
          <w:szCs w:val="24"/>
        </w:rPr>
        <w:t>p</w:t>
      </w:r>
      <w:r w:rsidRPr="003137EA">
        <w:rPr>
          <w:rFonts w:ascii="Arial" w:hAnsi="Arial" w:cs="Arial"/>
          <w:color w:val="auto"/>
          <w:szCs w:val="24"/>
        </w:rPr>
        <w:t xml:space="preserve">aragraph 8.2, using a rate of interest of </w:t>
      </w:r>
      <w:r w:rsidRPr="003342C3">
        <w:rPr>
          <w:rFonts w:ascii="Arial" w:hAnsi="Arial" w:cs="Arial"/>
          <w:color w:val="auto"/>
          <w:szCs w:val="24"/>
        </w:rPr>
        <w:t xml:space="preserve">0% per annum. </w:t>
      </w:r>
    </w:p>
    <w:p w14:paraId="495F57E7" w14:textId="77777777" w:rsidR="003915E3" w:rsidRPr="003137EA" w:rsidRDefault="003915E3" w:rsidP="00C34E03">
      <w:pPr>
        <w:spacing w:after="0" w:line="276" w:lineRule="auto"/>
        <w:ind w:left="726" w:hanging="726"/>
        <w:rPr>
          <w:rFonts w:ascii="Arial" w:hAnsi="Arial" w:cs="Arial"/>
          <w:color w:val="auto"/>
          <w:szCs w:val="24"/>
        </w:rPr>
      </w:pPr>
      <w:r w:rsidRPr="003137EA">
        <w:rPr>
          <w:rFonts w:ascii="Arial" w:hAnsi="Arial" w:cs="Arial"/>
          <w:color w:val="auto"/>
          <w:szCs w:val="24"/>
        </w:rPr>
        <w:t xml:space="preserve"> </w:t>
      </w:r>
    </w:p>
    <w:p w14:paraId="69BC07BE" w14:textId="7BB3A38E" w:rsidR="003915E3" w:rsidRPr="003137EA" w:rsidRDefault="003915E3" w:rsidP="00C34E03">
      <w:pPr>
        <w:numPr>
          <w:ilvl w:val="1"/>
          <w:numId w:val="9"/>
        </w:numPr>
        <w:spacing w:after="0" w:line="276" w:lineRule="auto"/>
        <w:ind w:left="726" w:right="31" w:hanging="726"/>
        <w:rPr>
          <w:rFonts w:ascii="Arial" w:hAnsi="Arial" w:cs="Arial"/>
          <w:color w:val="auto"/>
          <w:szCs w:val="24"/>
        </w:rPr>
      </w:pPr>
      <w:r w:rsidRPr="003137EA">
        <w:rPr>
          <w:rFonts w:ascii="Arial" w:hAnsi="Arial" w:cs="Arial"/>
          <w:color w:val="auto"/>
          <w:szCs w:val="24"/>
        </w:rPr>
        <w:t xml:space="preserve">Illustrations of benefits in annuity form must show annuities which escalate at a rate of </w:t>
      </w:r>
      <w:r w:rsidR="00A07E2C">
        <w:rPr>
          <w:rFonts w:ascii="Arial" w:hAnsi="Arial" w:cs="Arial"/>
          <w:color w:val="auto"/>
          <w:szCs w:val="24"/>
        </w:rPr>
        <w:t>2%</w:t>
      </w:r>
      <w:r w:rsidRPr="003137EA">
        <w:rPr>
          <w:rFonts w:ascii="Arial" w:hAnsi="Arial" w:cs="Arial"/>
          <w:color w:val="auto"/>
          <w:szCs w:val="24"/>
        </w:rPr>
        <w:t xml:space="preserve"> per annum, unless the rules of the </w:t>
      </w:r>
      <w:r w:rsidR="003342C3">
        <w:rPr>
          <w:rFonts w:ascii="Arial" w:hAnsi="Arial" w:cs="Arial"/>
          <w:color w:val="auto"/>
          <w:szCs w:val="24"/>
        </w:rPr>
        <w:t>scheme</w:t>
      </w:r>
      <w:r w:rsidRPr="003137EA">
        <w:rPr>
          <w:rFonts w:ascii="Arial" w:hAnsi="Arial" w:cs="Arial"/>
          <w:color w:val="auto"/>
          <w:szCs w:val="24"/>
        </w:rPr>
        <w:t xml:space="preserve"> dictate that a different rate of escalation will apply, in which case that rate must be used in conjunction, where necessary, with assumptions about the rate of change in consumer prices or the rate of change in general earnings determined in accordance with </w:t>
      </w:r>
      <w:r w:rsidR="00B1005B">
        <w:rPr>
          <w:rFonts w:ascii="Arial" w:hAnsi="Arial" w:cs="Arial"/>
          <w:color w:val="auto"/>
          <w:szCs w:val="24"/>
        </w:rPr>
        <w:t>p</w:t>
      </w:r>
      <w:r w:rsidRPr="003137EA">
        <w:rPr>
          <w:rFonts w:ascii="Arial" w:hAnsi="Arial" w:cs="Arial"/>
          <w:color w:val="auto"/>
          <w:szCs w:val="24"/>
        </w:rPr>
        <w:t>aragraph 7.2. Level annuities may also be shown but these may not be given greater prominence than escalating annuities</w:t>
      </w:r>
      <w:r w:rsidR="00075938">
        <w:rPr>
          <w:rFonts w:ascii="Arial" w:hAnsi="Arial" w:cs="Arial"/>
          <w:color w:val="auto"/>
          <w:szCs w:val="24"/>
        </w:rPr>
        <w:t>.</w:t>
      </w:r>
      <w:r w:rsidRPr="003137EA">
        <w:rPr>
          <w:rFonts w:ascii="Arial" w:hAnsi="Arial" w:cs="Arial"/>
          <w:color w:val="auto"/>
          <w:szCs w:val="24"/>
        </w:rPr>
        <w:t xml:space="preserve"> </w:t>
      </w:r>
    </w:p>
    <w:p w14:paraId="6D81E128" w14:textId="77777777" w:rsidR="003915E3" w:rsidRPr="003137EA" w:rsidRDefault="003915E3" w:rsidP="00C34E03">
      <w:pPr>
        <w:spacing w:after="0" w:line="276" w:lineRule="auto"/>
        <w:ind w:left="726" w:hanging="726"/>
        <w:rPr>
          <w:rFonts w:ascii="Arial" w:hAnsi="Arial" w:cs="Arial"/>
          <w:color w:val="auto"/>
          <w:szCs w:val="24"/>
        </w:rPr>
      </w:pPr>
      <w:r w:rsidRPr="003137EA">
        <w:rPr>
          <w:rFonts w:ascii="Arial" w:hAnsi="Arial" w:cs="Arial"/>
          <w:color w:val="auto"/>
          <w:szCs w:val="24"/>
        </w:rPr>
        <w:t xml:space="preserve"> </w:t>
      </w:r>
    </w:p>
    <w:p w14:paraId="2AA7B345" w14:textId="304235A4" w:rsidR="003915E3" w:rsidRPr="003137EA" w:rsidRDefault="003915E3" w:rsidP="00C34E03">
      <w:pPr>
        <w:numPr>
          <w:ilvl w:val="1"/>
          <w:numId w:val="9"/>
        </w:numPr>
        <w:spacing w:after="0" w:line="276" w:lineRule="auto"/>
        <w:ind w:left="726" w:right="31" w:hanging="726"/>
        <w:rPr>
          <w:rFonts w:ascii="Arial" w:hAnsi="Arial" w:cs="Arial"/>
          <w:color w:val="auto"/>
          <w:szCs w:val="24"/>
        </w:rPr>
      </w:pPr>
      <w:r w:rsidRPr="003137EA">
        <w:rPr>
          <w:rFonts w:ascii="Arial" w:hAnsi="Arial" w:cs="Arial"/>
          <w:color w:val="auto"/>
          <w:szCs w:val="24"/>
        </w:rPr>
        <w:t xml:space="preserve">All annuities shown must be assumed to be payable monthly in advance and guaranteed to be payable for a period of five years, unless the rules of the </w:t>
      </w:r>
      <w:r w:rsidR="00161FD9">
        <w:rPr>
          <w:rFonts w:ascii="Arial" w:hAnsi="Arial" w:cs="Arial"/>
          <w:color w:val="auto"/>
          <w:szCs w:val="24"/>
        </w:rPr>
        <w:lastRenderedPageBreak/>
        <w:t>scheme</w:t>
      </w:r>
      <w:r w:rsidRPr="003137EA">
        <w:rPr>
          <w:rFonts w:ascii="Arial" w:hAnsi="Arial" w:cs="Arial"/>
          <w:color w:val="auto"/>
          <w:szCs w:val="24"/>
        </w:rPr>
        <w:t xml:space="preserve"> dictate that different terms will apply to pensions in payment, in which case those terms must be reflected in the projections. </w:t>
      </w:r>
    </w:p>
    <w:p w14:paraId="7E951BBB" w14:textId="77777777" w:rsidR="003915E3" w:rsidRPr="003137EA" w:rsidRDefault="003915E3" w:rsidP="00C34E03">
      <w:pPr>
        <w:spacing w:after="0" w:line="276" w:lineRule="auto"/>
        <w:ind w:left="726" w:hanging="726"/>
        <w:rPr>
          <w:rFonts w:ascii="Arial" w:hAnsi="Arial" w:cs="Arial"/>
          <w:color w:val="auto"/>
          <w:szCs w:val="24"/>
        </w:rPr>
      </w:pPr>
      <w:r w:rsidRPr="003137EA">
        <w:rPr>
          <w:rFonts w:ascii="Arial" w:hAnsi="Arial" w:cs="Arial"/>
          <w:color w:val="auto"/>
          <w:szCs w:val="24"/>
        </w:rPr>
        <w:t xml:space="preserve"> </w:t>
      </w:r>
    </w:p>
    <w:p w14:paraId="3955C195" w14:textId="05977A94" w:rsidR="003915E3" w:rsidRPr="003137EA" w:rsidRDefault="0016293A" w:rsidP="00C34E03">
      <w:pPr>
        <w:numPr>
          <w:ilvl w:val="1"/>
          <w:numId w:val="9"/>
        </w:numPr>
        <w:spacing w:after="0" w:line="276" w:lineRule="auto"/>
        <w:ind w:left="726" w:right="31" w:hanging="726"/>
        <w:rPr>
          <w:rFonts w:ascii="Arial" w:hAnsi="Arial" w:cs="Arial"/>
          <w:color w:val="auto"/>
          <w:szCs w:val="24"/>
        </w:rPr>
      </w:pPr>
      <w:r w:rsidRPr="003137EA">
        <w:rPr>
          <w:rFonts w:ascii="Arial" w:hAnsi="Arial" w:cs="Arial"/>
          <w:color w:val="auto"/>
          <w:szCs w:val="24"/>
        </w:rPr>
        <w:t>A PBS</w:t>
      </w:r>
      <w:r w:rsidR="003915E3" w:rsidRPr="003137EA">
        <w:rPr>
          <w:rFonts w:ascii="Arial" w:hAnsi="Arial" w:cs="Arial"/>
          <w:color w:val="auto"/>
          <w:szCs w:val="24"/>
        </w:rPr>
        <w:t xml:space="preserve"> must contain a note describing the nature of the annuity shown, including the duration or durations of life for which the annuity is payable and any reduction that would apply in the event of a death during this period </w:t>
      </w:r>
      <w:proofErr w:type="gramStart"/>
      <w:r w:rsidR="003915E3" w:rsidRPr="003137EA">
        <w:rPr>
          <w:rFonts w:ascii="Arial" w:hAnsi="Arial" w:cs="Arial"/>
          <w:color w:val="auto"/>
          <w:szCs w:val="24"/>
        </w:rPr>
        <w:t>and also</w:t>
      </w:r>
      <w:proofErr w:type="gramEnd"/>
      <w:r w:rsidR="003915E3" w:rsidRPr="003137EA">
        <w:rPr>
          <w:rFonts w:ascii="Arial" w:hAnsi="Arial" w:cs="Arial"/>
          <w:color w:val="auto"/>
          <w:szCs w:val="24"/>
        </w:rPr>
        <w:t xml:space="preserve"> including the information specified in </w:t>
      </w:r>
      <w:r w:rsidR="00B1005B">
        <w:rPr>
          <w:rFonts w:ascii="Arial" w:hAnsi="Arial" w:cs="Arial"/>
          <w:color w:val="auto"/>
          <w:szCs w:val="24"/>
        </w:rPr>
        <w:t>p</w:t>
      </w:r>
      <w:r w:rsidR="003915E3" w:rsidRPr="003137EA">
        <w:rPr>
          <w:rFonts w:ascii="Arial" w:hAnsi="Arial" w:cs="Arial"/>
          <w:color w:val="auto"/>
          <w:szCs w:val="24"/>
        </w:rPr>
        <w:t xml:space="preserve">aragraphs 8.4 and 8.5. </w:t>
      </w:r>
    </w:p>
    <w:p w14:paraId="29F0334B" w14:textId="77777777" w:rsidR="003915E3" w:rsidRPr="003137EA" w:rsidRDefault="003915E3" w:rsidP="00C34E03">
      <w:pPr>
        <w:spacing w:after="0" w:line="276" w:lineRule="auto"/>
        <w:ind w:left="726" w:hanging="726"/>
        <w:rPr>
          <w:rFonts w:ascii="Arial" w:hAnsi="Arial" w:cs="Arial"/>
          <w:color w:val="auto"/>
          <w:szCs w:val="24"/>
        </w:rPr>
      </w:pPr>
      <w:r w:rsidRPr="003137EA">
        <w:rPr>
          <w:rFonts w:ascii="Arial" w:hAnsi="Arial" w:cs="Arial"/>
          <w:color w:val="auto"/>
          <w:szCs w:val="24"/>
        </w:rPr>
        <w:t xml:space="preserve"> </w:t>
      </w:r>
    </w:p>
    <w:p w14:paraId="7EEC86A1" w14:textId="73812BF9" w:rsidR="003915E3" w:rsidRPr="003137EA" w:rsidRDefault="003915E3" w:rsidP="00C34E03">
      <w:pPr>
        <w:numPr>
          <w:ilvl w:val="1"/>
          <w:numId w:val="9"/>
        </w:numPr>
        <w:spacing w:after="0" w:line="276" w:lineRule="auto"/>
        <w:ind w:left="726" w:right="31" w:hanging="726"/>
        <w:rPr>
          <w:rFonts w:ascii="Arial" w:hAnsi="Arial" w:cs="Arial"/>
          <w:color w:val="auto"/>
          <w:szCs w:val="24"/>
        </w:rPr>
      </w:pPr>
      <w:r w:rsidRPr="003137EA">
        <w:rPr>
          <w:rFonts w:ascii="Arial" w:hAnsi="Arial" w:cs="Arial"/>
          <w:color w:val="auto"/>
          <w:szCs w:val="24"/>
        </w:rPr>
        <w:t xml:space="preserve">Where the remaining term to the assumed retirement age is less than </w:t>
      </w:r>
      <w:r w:rsidR="00131801">
        <w:rPr>
          <w:rFonts w:ascii="Arial" w:hAnsi="Arial" w:cs="Arial"/>
          <w:color w:val="auto"/>
          <w:szCs w:val="24"/>
        </w:rPr>
        <w:t>five</w:t>
      </w:r>
      <w:r w:rsidRPr="003137EA">
        <w:rPr>
          <w:rFonts w:ascii="Arial" w:hAnsi="Arial" w:cs="Arial"/>
          <w:color w:val="auto"/>
          <w:szCs w:val="24"/>
        </w:rPr>
        <w:t xml:space="preserve"> years, then either an appropriate current market annuity rate, or an annuity rate derived from an actuarial basis broadly consistent with prevailing market annuity rates, must be used to illustrate the conversion of the retirement fund into an annuity. In addition, for all illustrations, a statement must be made to the effect that the actual annuity rate at retirement is likely to differ from the annuity rate used in the illustration. </w:t>
      </w:r>
    </w:p>
    <w:p w14:paraId="52F5CC24" w14:textId="77777777" w:rsidR="003915E3" w:rsidRPr="003137EA" w:rsidRDefault="003915E3" w:rsidP="00C34E03">
      <w:pPr>
        <w:spacing w:after="0" w:line="276" w:lineRule="auto"/>
        <w:ind w:left="726" w:hanging="726"/>
        <w:rPr>
          <w:rFonts w:ascii="Arial" w:hAnsi="Arial" w:cs="Arial"/>
          <w:color w:val="auto"/>
          <w:szCs w:val="24"/>
        </w:rPr>
      </w:pPr>
      <w:r w:rsidRPr="003137EA">
        <w:rPr>
          <w:rFonts w:ascii="Arial" w:hAnsi="Arial" w:cs="Arial"/>
          <w:color w:val="auto"/>
          <w:szCs w:val="24"/>
        </w:rPr>
        <w:t xml:space="preserve"> </w:t>
      </w:r>
    </w:p>
    <w:p w14:paraId="3AA57272" w14:textId="77777777" w:rsidR="003915E3" w:rsidRPr="003137EA" w:rsidRDefault="003915E3" w:rsidP="00C34E03">
      <w:pPr>
        <w:numPr>
          <w:ilvl w:val="1"/>
          <w:numId w:val="9"/>
        </w:numPr>
        <w:spacing w:after="0" w:line="276" w:lineRule="auto"/>
        <w:ind w:left="726" w:right="31" w:hanging="726"/>
        <w:rPr>
          <w:rFonts w:ascii="Arial" w:hAnsi="Arial" w:cs="Arial"/>
          <w:color w:val="auto"/>
          <w:szCs w:val="24"/>
        </w:rPr>
      </w:pPr>
      <w:r w:rsidRPr="003137EA">
        <w:rPr>
          <w:rFonts w:ascii="Arial" w:hAnsi="Arial" w:cs="Arial"/>
          <w:color w:val="auto"/>
          <w:szCs w:val="24"/>
        </w:rPr>
        <w:t xml:space="preserve">If a guaranteed annuity rate which is greater than the rate determined above applies, this rate must be used in the illustration of the conversion of the retirement fund into an annuity. </w:t>
      </w:r>
    </w:p>
    <w:p w14:paraId="7824526E"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29BAF9EF" w14:textId="48EE241C" w:rsidR="003915E3" w:rsidRPr="00C66D90" w:rsidRDefault="003915E3" w:rsidP="00C34E03">
      <w:pPr>
        <w:pStyle w:val="Heading3"/>
        <w:ind w:left="709" w:hanging="709"/>
      </w:pPr>
      <w:bookmarkStart w:id="8" w:name="_Toc109742782"/>
      <w:r w:rsidRPr="003137EA">
        <w:t>Projected deductions for the cost of protection benefits</w:t>
      </w:r>
      <w:bookmarkEnd w:id="8"/>
      <w:r w:rsidRPr="003137EA">
        <w:t xml:space="preserve"> </w:t>
      </w:r>
    </w:p>
    <w:p w14:paraId="05131F4B" w14:textId="01E5CD86"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9.1</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The current charging basis for protection (i.e.</w:t>
      </w:r>
      <w:r w:rsidR="00C66D90">
        <w:rPr>
          <w:rFonts w:ascii="Arial" w:hAnsi="Arial" w:cs="Arial"/>
          <w:color w:val="auto"/>
          <w:szCs w:val="24"/>
        </w:rPr>
        <w:t>,</w:t>
      </w:r>
      <w:r w:rsidRPr="003137EA">
        <w:rPr>
          <w:rFonts w:ascii="Arial" w:hAnsi="Arial" w:cs="Arial"/>
          <w:color w:val="auto"/>
          <w:szCs w:val="24"/>
        </w:rPr>
        <w:t xml:space="preserve"> risk) benefits (with allowance for rates increasing with age) must be assumed, unless there is reason to believe that the actual charging basis in the future will be higher than that currently applicable. </w:t>
      </w:r>
    </w:p>
    <w:p w14:paraId="49A42F13"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3AAED9E6" w14:textId="77777777"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9.2</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Reductions in mortality and other risk charges arising out of anticipated secular improvements in mortality must not be incorporated when determining projected retirement funds. </w:t>
      </w:r>
    </w:p>
    <w:p w14:paraId="60EA18E8"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0FCA59A5" w14:textId="77777777" w:rsidR="003915E3" w:rsidRPr="003137EA" w:rsidRDefault="003915E3" w:rsidP="00C34E03">
      <w:pPr>
        <w:spacing w:after="0" w:line="276" w:lineRule="auto"/>
        <w:ind w:left="734" w:right="149"/>
        <w:rPr>
          <w:rFonts w:ascii="Arial" w:hAnsi="Arial" w:cs="Arial"/>
          <w:color w:val="auto"/>
          <w:szCs w:val="24"/>
        </w:rPr>
      </w:pPr>
      <w:r w:rsidRPr="003137EA">
        <w:rPr>
          <w:rFonts w:ascii="Arial" w:hAnsi="Arial" w:cs="Arial"/>
          <w:color w:val="auto"/>
          <w:szCs w:val="24"/>
        </w:rPr>
        <w:t>9.3</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Where deterioration in risk experience is expected, leading to a consequent increase in the charging basis for protection benefits, this must be reflected in the illustrations. </w:t>
      </w:r>
    </w:p>
    <w:p w14:paraId="60DDCEDB"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42F8DBBC" w14:textId="3C9AD23C" w:rsidR="003915E3" w:rsidRPr="00254309" w:rsidRDefault="003915E3" w:rsidP="00C34E03">
      <w:pPr>
        <w:pStyle w:val="Heading3"/>
        <w:ind w:left="709" w:hanging="709"/>
      </w:pPr>
      <w:bookmarkStart w:id="9" w:name="_Toc109742783"/>
      <w:r w:rsidRPr="003137EA">
        <w:t>Projected deductions to cover expenses and charges</w:t>
      </w:r>
      <w:bookmarkEnd w:id="9"/>
      <w:r w:rsidRPr="003137EA">
        <w:t xml:space="preserve"> </w:t>
      </w:r>
    </w:p>
    <w:p w14:paraId="6012A159" w14:textId="77777777"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10.1</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Projected deductions to cover expenses and charges include charges for profit, where applicable. </w:t>
      </w:r>
    </w:p>
    <w:p w14:paraId="45C4BC4E"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2778E889" w14:textId="64BB1116"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10.2</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The current charging basis for expenses must be reflected when illustrating projected retirement benefits, unless there is reason to believe that this will increase in the future. </w:t>
      </w:r>
      <w:proofErr w:type="gramStart"/>
      <w:r w:rsidRPr="003137EA">
        <w:rPr>
          <w:rFonts w:ascii="Arial" w:hAnsi="Arial" w:cs="Arial"/>
          <w:color w:val="auto"/>
          <w:szCs w:val="24"/>
        </w:rPr>
        <w:t>In particular, any</w:t>
      </w:r>
      <w:proofErr w:type="gramEnd"/>
      <w:r w:rsidRPr="003137EA">
        <w:rPr>
          <w:rFonts w:ascii="Arial" w:hAnsi="Arial" w:cs="Arial"/>
          <w:color w:val="auto"/>
          <w:szCs w:val="24"/>
        </w:rPr>
        <w:t xml:space="preserve"> anticipated systematic adjustment in charges to reflect inflation of expenses must be allowed for, using, where </w:t>
      </w:r>
      <w:r w:rsidRPr="003137EA">
        <w:rPr>
          <w:rFonts w:ascii="Arial" w:hAnsi="Arial" w:cs="Arial"/>
          <w:color w:val="auto"/>
          <w:szCs w:val="24"/>
        </w:rPr>
        <w:lastRenderedPageBreak/>
        <w:t xml:space="preserve">necessary, assumptions about the rate of change in consumer prices or the rate of change in general earnings determined in accordance with the provisions of </w:t>
      </w:r>
      <w:r w:rsidR="00B1005B">
        <w:rPr>
          <w:rFonts w:ascii="Arial" w:hAnsi="Arial" w:cs="Arial"/>
          <w:color w:val="auto"/>
          <w:szCs w:val="24"/>
        </w:rPr>
        <w:t>p</w:t>
      </w:r>
      <w:r w:rsidRPr="003137EA">
        <w:rPr>
          <w:rFonts w:ascii="Arial" w:hAnsi="Arial" w:cs="Arial"/>
          <w:color w:val="auto"/>
          <w:szCs w:val="24"/>
        </w:rPr>
        <w:t xml:space="preserve">aragraph 7.2. Reduction in charges must not be anticipated, unless these are contractually guaranteed. </w:t>
      </w:r>
    </w:p>
    <w:p w14:paraId="647D8E55"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3FCA466B" w14:textId="74139E58" w:rsidR="003915E3" w:rsidRPr="003137EA" w:rsidRDefault="003915E3" w:rsidP="00C34E03">
      <w:pPr>
        <w:spacing w:after="0" w:line="276" w:lineRule="auto"/>
        <w:ind w:right="140"/>
        <w:rPr>
          <w:rFonts w:ascii="Arial" w:hAnsi="Arial" w:cs="Arial"/>
          <w:color w:val="auto"/>
          <w:szCs w:val="24"/>
        </w:rPr>
      </w:pPr>
      <w:r w:rsidRPr="003137EA">
        <w:rPr>
          <w:rFonts w:ascii="Arial" w:hAnsi="Arial" w:cs="Arial"/>
          <w:color w:val="auto"/>
          <w:szCs w:val="24"/>
        </w:rPr>
        <w:t>10.3</w:t>
      </w:r>
      <w:r w:rsidRPr="003137EA">
        <w:rPr>
          <w:rFonts w:ascii="Arial" w:eastAsia="Arial" w:hAnsi="Arial" w:cs="Arial"/>
          <w:color w:val="auto"/>
          <w:szCs w:val="24"/>
        </w:rPr>
        <w:t xml:space="preserve"> </w:t>
      </w:r>
      <w:r w:rsidR="001006AC">
        <w:rPr>
          <w:rFonts w:ascii="Arial" w:eastAsia="Arial" w:hAnsi="Arial" w:cs="Arial"/>
          <w:color w:val="auto"/>
          <w:szCs w:val="24"/>
        </w:rPr>
        <w:tab/>
      </w:r>
      <w:r w:rsidRPr="003137EA">
        <w:rPr>
          <w:rFonts w:ascii="Arial" w:hAnsi="Arial" w:cs="Arial"/>
          <w:color w:val="auto"/>
          <w:szCs w:val="24"/>
        </w:rPr>
        <w:t>The actual (e.g.</w:t>
      </w:r>
      <w:r w:rsidR="00FA0E9B">
        <w:rPr>
          <w:rFonts w:ascii="Arial" w:hAnsi="Arial" w:cs="Arial"/>
          <w:color w:val="auto"/>
          <w:szCs w:val="24"/>
        </w:rPr>
        <w:t>,</w:t>
      </w:r>
      <w:r w:rsidRPr="003137EA">
        <w:rPr>
          <w:rFonts w:ascii="Arial" w:hAnsi="Arial" w:cs="Arial"/>
          <w:color w:val="auto"/>
          <w:szCs w:val="24"/>
        </w:rPr>
        <w:t xml:space="preserve"> monthly) timing and the actual level of expense deductions must be reflected when illustrating projected retirement benefits. </w:t>
      </w:r>
    </w:p>
    <w:p w14:paraId="4DFC5428" w14:textId="77777777" w:rsidR="003915E3" w:rsidRPr="003137EA" w:rsidRDefault="003915E3" w:rsidP="00C34E03">
      <w:pPr>
        <w:spacing w:after="0" w:line="276" w:lineRule="auto"/>
        <w:rPr>
          <w:rFonts w:ascii="Arial" w:hAnsi="Arial" w:cs="Arial"/>
          <w:color w:val="auto"/>
          <w:szCs w:val="24"/>
        </w:rPr>
      </w:pPr>
      <w:r w:rsidRPr="003137EA">
        <w:rPr>
          <w:rFonts w:ascii="Arial" w:hAnsi="Arial" w:cs="Arial"/>
          <w:color w:val="auto"/>
          <w:szCs w:val="24"/>
        </w:rPr>
        <w:t xml:space="preserve"> </w:t>
      </w:r>
    </w:p>
    <w:p w14:paraId="643561D7" w14:textId="77777777" w:rsidR="003915E3" w:rsidRPr="003137EA" w:rsidRDefault="003915E3" w:rsidP="00C34E03">
      <w:pPr>
        <w:tabs>
          <w:tab w:val="center" w:pos="3571"/>
        </w:tabs>
        <w:spacing w:after="0" w:line="276" w:lineRule="auto"/>
        <w:rPr>
          <w:rFonts w:ascii="Arial" w:hAnsi="Arial" w:cs="Arial"/>
          <w:color w:val="auto"/>
          <w:szCs w:val="24"/>
        </w:rPr>
      </w:pPr>
      <w:r w:rsidRPr="003137EA">
        <w:rPr>
          <w:rFonts w:ascii="Arial" w:hAnsi="Arial" w:cs="Arial"/>
          <w:color w:val="auto"/>
          <w:szCs w:val="24"/>
        </w:rPr>
        <w:t>10.4</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It may be assumed that investment return is achieved after: </w:t>
      </w:r>
    </w:p>
    <w:p w14:paraId="6EF750BD"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6334DEDE" w14:textId="77777777" w:rsidR="00692485" w:rsidRPr="003137EA" w:rsidRDefault="003915E3" w:rsidP="00C34E03">
      <w:pPr>
        <w:pStyle w:val="ListParagraph"/>
        <w:numPr>
          <w:ilvl w:val="0"/>
          <w:numId w:val="15"/>
        </w:numPr>
        <w:spacing w:after="0" w:line="276" w:lineRule="auto"/>
        <w:ind w:left="1276" w:hanging="567"/>
        <w:rPr>
          <w:rFonts w:ascii="Arial" w:hAnsi="Arial" w:cs="Arial"/>
        </w:rPr>
      </w:pPr>
      <w:r w:rsidRPr="003137EA">
        <w:rPr>
          <w:rFonts w:ascii="Arial" w:hAnsi="Arial" w:cs="Arial"/>
        </w:rPr>
        <w:t xml:space="preserve">meeting the costs of buying and selling investments, including transaction related stamp duty, to the extent that these are the arm’s length costs actually disbursed – for the avoidance of doubt, such costs do not include charges made in respect of investment </w:t>
      </w:r>
      <w:proofErr w:type="gramStart"/>
      <w:r w:rsidRPr="003137EA">
        <w:rPr>
          <w:rFonts w:ascii="Arial" w:hAnsi="Arial" w:cs="Arial"/>
        </w:rPr>
        <w:t>management;</w:t>
      </w:r>
      <w:proofErr w:type="gramEnd"/>
      <w:r w:rsidRPr="003137EA">
        <w:rPr>
          <w:rFonts w:ascii="Arial" w:hAnsi="Arial" w:cs="Arial"/>
        </w:rPr>
        <w:t xml:space="preserve"> </w:t>
      </w:r>
    </w:p>
    <w:p w14:paraId="02722069" w14:textId="7E56CD2D" w:rsidR="003915E3" w:rsidRPr="003137EA" w:rsidRDefault="003915E3" w:rsidP="00C34E03">
      <w:pPr>
        <w:spacing w:after="0" w:line="276" w:lineRule="auto"/>
        <w:ind w:left="1276" w:hanging="567"/>
        <w:rPr>
          <w:rFonts w:ascii="Arial" w:hAnsi="Arial" w:cs="Arial"/>
        </w:rPr>
      </w:pPr>
    </w:p>
    <w:p w14:paraId="3BE024E9" w14:textId="4B66EA02" w:rsidR="003915E3" w:rsidRPr="003137EA" w:rsidRDefault="003915E3" w:rsidP="00C34E03">
      <w:pPr>
        <w:pStyle w:val="ListParagraph"/>
        <w:numPr>
          <w:ilvl w:val="0"/>
          <w:numId w:val="15"/>
        </w:numPr>
        <w:spacing w:after="0" w:line="276" w:lineRule="auto"/>
        <w:ind w:left="1276" w:hanging="567"/>
        <w:rPr>
          <w:rFonts w:ascii="Arial" w:hAnsi="Arial" w:cs="Arial"/>
        </w:rPr>
      </w:pPr>
      <w:r w:rsidRPr="003137EA">
        <w:rPr>
          <w:rFonts w:ascii="Arial" w:hAnsi="Arial" w:cs="Arial"/>
        </w:rPr>
        <w:t xml:space="preserve">custodial and other fees which are the necessary costs of maintaining an investment fund, to the extent that these are the arm’s length costs </w:t>
      </w:r>
      <w:proofErr w:type="gramStart"/>
      <w:r w:rsidRPr="003137EA">
        <w:rPr>
          <w:rFonts w:ascii="Arial" w:hAnsi="Arial" w:cs="Arial"/>
        </w:rPr>
        <w:t>actually disbursed</w:t>
      </w:r>
      <w:proofErr w:type="gramEnd"/>
      <w:r w:rsidRPr="003137EA">
        <w:rPr>
          <w:rFonts w:ascii="Arial" w:hAnsi="Arial" w:cs="Arial"/>
        </w:rPr>
        <w:t xml:space="preserve">; and </w:t>
      </w:r>
    </w:p>
    <w:p w14:paraId="20F4C036" w14:textId="52AE7698" w:rsidR="003915E3" w:rsidRPr="003137EA" w:rsidRDefault="003915E3" w:rsidP="00C34E03">
      <w:pPr>
        <w:spacing w:after="0" w:line="276" w:lineRule="auto"/>
        <w:ind w:left="1276" w:hanging="567"/>
        <w:rPr>
          <w:rFonts w:ascii="Arial" w:hAnsi="Arial" w:cs="Arial"/>
        </w:rPr>
      </w:pPr>
    </w:p>
    <w:p w14:paraId="687E889E" w14:textId="77777777" w:rsidR="003915E3" w:rsidRPr="003137EA" w:rsidRDefault="003915E3" w:rsidP="00C34E03">
      <w:pPr>
        <w:pStyle w:val="ListParagraph"/>
        <w:numPr>
          <w:ilvl w:val="0"/>
          <w:numId w:val="15"/>
        </w:numPr>
        <w:spacing w:after="0" w:line="276" w:lineRule="auto"/>
        <w:ind w:left="1276" w:hanging="567"/>
        <w:rPr>
          <w:rFonts w:ascii="Arial" w:hAnsi="Arial" w:cs="Arial"/>
        </w:rPr>
      </w:pPr>
      <w:r w:rsidRPr="003137EA">
        <w:rPr>
          <w:rFonts w:ascii="Arial" w:hAnsi="Arial" w:cs="Arial"/>
        </w:rPr>
        <w:t xml:space="preserve">meeting the arm’s length cost of routine property maintenance, including property valuation fees and rent collection. </w:t>
      </w:r>
    </w:p>
    <w:p w14:paraId="594C0DA8"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55B4D453" w14:textId="77777777" w:rsidR="003915E3" w:rsidRPr="003137EA" w:rsidRDefault="003915E3" w:rsidP="00C34E03">
      <w:pPr>
        <w:spacing w:after="0" w:line="276" w:lineRule="auto"/>
        <w:ind w:left="742" w:right="31" w:firstLine="0"/>
        <w:rPr>
          <w:rFonts w:ascii="Arial" w:hAnsi="Arial" w:cs="Arial"/>
          <w:color w:val="auto"/>
          <w:szCs w:val="24"/>
        </w:rPr>
      </w:pPr>
      <w:r w:rsidRPr="003137EA">
        <w:rPr>
          <w:rFonts w:ascii="Arial" w:hAnsi="Arial" w:cs="Arial"/>
          <w:color w:val="auto"/>
          <w:szCs w:val="24"/>
        </w:rPr>
        <w:t xml:space="preserve">Accordingly, these charges need not be shown as deductions to cover expenses or profit. </w:t>
      </w:r>
    </w:p>
    <w:p w14:paraId="15425C61"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2DDEC21E" w14:textId="77777777" w:rsidR="003915E3" w:rsidRPr="003137EA" w:rsidRDefault="003915E3" w:rsidP="00C34E03">
      <w:pPr>
        <w:tabs>
          <w:tab w:val="center" w:pos="4243"/>
        </w:tabs>
        <w:spacing w:after="0" w:line="276" w:lineRule="auto"/>
        <w:ind w:left="709" w:hanging="709"/>
        <w:rPr>
          <w:rFonts w:ascii="Arial" w:hAnsi="Arial" w:cs="Arial"/>
          <w:color w:val="auto"/>
          <w:szCs w:val="24"/>
        </w:rPr>
      </w:pPr>
      <w:r w:rsidRPr="003137EA">
        <w:rPr>
          <w:rFonts w:ascii="Arial" w:hAnsi="Arial" w:cs="Arial"/>
          <w:color w:val="auto"/>
          <w:szCs w:val="24"/>
        </w:rPr>
        <w:t>10.5</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The following costs are not regarded as implicit in the investment return: </w:t>
      </w:r>
    </w:p>
    <w:p w14:paraId="55C9BA4F"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36FD587E" w14:textId="13E155A4" w:rsidR="003915E3" w:rsidRPr="003137EA" w:rsidRDefault="00222FE6" w:rsidP="00C34E03">
      <w:pPr>
        <w:numPr>
          <w:ilvl w:val="0"/>
          <w:numId w:val="11"/>
        </w:numPr>
        <w:spacing w:after="0" w:line="276" w:lineRule="auto"/>
        <w:ind w:left="1276" w:right="31" w:hanging="567"/>
        <w:rPr>
          <w:rFonts w:ascii="Arial" w:hAnsi="Arial" w:cs="Arial"/>
          <w:color w:val="auto"/>
          <w:szCs w:val="24"/>
        </w:rPr>
      </w:pPr>
      <w:r>
        <w:rPr>
          <w:rFonts w:ascii="Arial" w:hAnsi="Arial" w:cs="Arial"/>
          <w:color w:val="auto"/>
          <w:szCs w:val="24"/>
        </w:rPr>
        <w:t>C</w:t>
      </w:r>
      <w:r w:rsidR="003915E3" w:rsidRPr="003137EA">
        <w:rPr>
          <w:rFonts w:ascii="Arial" w:hAnsi="Arial" w:cs="Arial"/>
          <w:color w:val="auto"/>
          <w:szCs w:val="24"/>
        </w:rPr>
        <w:t xml:space="preserve">osts of buying and selling investments or maintaining properties which are </w:t>
      </w:r>
      <w:proofErr w:type="gramStart"/>
      <w:r w:rsidR="003915E3" w:rsidRPr="003137EA">
        <w:rPr>
          <w:rFonts w:ascii="Arial" w:hAnsi="Arial" w:cs="Arial"/>
          <w:color w:val="auto"/>
          <w:szCs w:val="24"/>
        </w:rPr>
        <w:t>in excess of</w:t>
      </w:r>
      <w:proofErr w:type="gramEnd"/>
      <w:r w:rsidR="003915E3" w:rsidRPr="003137EA">
        <w:rPr>
          <w:rFonts w:ascii="Arial" w:hAnsi="Arial" w:cs="Arial"/>
          <w:color w:val="auto"/>
          <w:szCs w:val="24"/>
        </w:rPr>
        <w:t xml:space="preserve"> what could be negotiated on an arm’s length basis</w:t>
      </w:r>
      <w:r>
        <w:rPr>
          <w:rFonts w:ascii="Arial" w:hAnsi="Arial" w:cs="Arial"/>
          <w:color w:val="auto"/>
          <w:szCs w:val="24"/>
        </w:rPr>
        <w:t>.</w:t>
      </w:r>
      <w:r w:rsidR="003915E3" w:rsidRPr="003137EA">
        <w:rPr>
          <w:rFonts w:ascii="Arial" w:hAnsi="Arial" w:cs="Arial"/>
          <w:color w:val="auto"/>
          <w:szCs w:val="24"/>
        </w:rPr>
        <w:t xml:space="preserve"> </w:t>
      </w:r>
    </w:p>
    <w:p w14:paraId="3038B3EA" w14:textId="77777777" w:rsidR="003915E3" w:rsidRPr="003137EA" w:rsidRDefault="003915E3" w:rsidP="00C34E03">
      <w:pPr>
        <w:spacing w:after="0" w:line="276" w:lineRule="auto"/>
        <w:ind w:left="1276" w:hanging="567"/>
        <w:rPr>
          <w:rFonts w:ascii="Arial" w:hAnsi="Arial" w:cs="Arial"/>
          <w:color w:val="auto"/>
          <w:szCs w:val="24"/>
        </w:rPr>
      </w:pPr>
      <w:r w:rsidRPr="003137EA">
        <w:rPr>
          <w:rFonts w:ascii="Arial" w:hAnsi="Arial" w:cs="Arial"/>
          <w:color w:val="auto"/>
          <w:szCs w:val="24"/>
        </w:rPr>
        <w:t xml:space="preserve"> </w:t>
      </w:r>
    </w:p>
    <w:p w14:paraId="0A5ADF31" w14:textId="6E1C389D" w:rsidR="003915E3" w:rsidRPr="003137EA" w:rsidRDefault="00222FE6" w:rsidP="00C34E03">
      <w:pPr>
        <w:numPr>
          <w:ilvl w:val="0"/>
          <w:numId w:val="11"/>
        </w:numPr>
        <w:spacing w:after="0" w:line="276" w:lineRule="auto"/>
        <w:ind w:left="1276" w:right="31" w:hanging="567"/>
        <w:rPr>
          <w:rFonts w:ascii="Arial" w:hAnsi="Arial" w:cs="Arial"/>
          <w:color w:val="auto"/>
          <w:szCs w:val="24"/>
        </w:rPr>
      </w:pPr>
      <w:r>
        <w:rPr>
          <w:rFonts w:ascii="Arial" w:hAnsi="Arial" w:cs="Arial"/>
          <w:color w:val="auto"/>
          <w:szCs w:val="24"/>
        </w:rPr>
        <w:t>B</w:t>
      </w:r>
      <w:r w:rsidR="003915E3" w:rsidRPr="003137EA">
        <w:rPr>
          <w:rFonts w:ascii="Arial" w:hAnsi="Arial" w:cs="Arial"/>
          <w:color w:val="auto"/>
          <w:szCs w:val="24"/>
        </w:rPr>
        <w:t>ulk discounts on stockbroker commissions which are retained for the account of the provider of the contract or investment vehicle</w:t>
      </w:r>
      <w:r>
        <w:rPr>
          <w:rFonts w:ascii="Arial" w:hAnsi="Arial" w:cs="Arial"/>
          <w:color w:val="auto"/>
          <w:szCs w:val="24"/>
        </w:rPr>
        <w:t>.</w:t>
      </w:r>
      <w:r w:rsidR="003915E3" w:rsidRPr="003137EA">
        <w:rPr>
          <w:rFonts w:ascii="Arial" w:hAnsi="Arial" w:cs="Arial"/>
          <w:color w:val="auto"/>
          <w:szCs w:val="24"/>
        </w:rPr>
        <w:t xml:space="preserve"> </w:t>
      </w:r>
    </w:p>
    <w:p w14:paraId="5B3123B4" w14:textId="77777777" w:rsidR="003915E3" w:rsidRPr="003137EA" w:rsidRDefault="003915E3" w:rsidP="00C34E03">
      <w:pPr>
        <w:spacing w:after="0" w:line="276" w:lineRule="auto"/>
        <w:ind w:left="1276" w:hanging="567"/>
        <w:rPr>
          <w:rFonts w:ascii="Arial" w:hAnsi="Arial" w:cs="Arial"/>
          <w:color w:val="auto"/>
          <w:szCs w:val="24"/>
        </w:rPr>
      </w:pPr>
      <w:r w:rsidRPr="003137EA">
        <w:rPr>
          <w:rFonts w:ascii="Arial" w:hAnsi="Arial" w:cs="Arial"/>
          <w:color w:val="auto"/>
          <w:szCs w:val="24"/>
        </w:rPr>
        <w:t xml:space="preserve"> </w:t>
      </w:r>
    </w:p>
    <w:p w14:paraId="0733A67B" w14:textId="4FB1AC4E" w:rsidR="003915E3" w:rsidRPr="003137EA" w:rsidRDefault="00222FE6" w:rsidP="00C34E03">
      <w:pPr>
        <w:numPr>
          <w:ilvl w:val="0"/>
          <w:numId w:val="11"/>
        </w:numPr>
        <w:spacing w:after="0" w:line="276" w:lineRule="auto"/>
        <w:ind w:left="1276" w:right="31" w:hanging="567"/>
        <w:rPr>
          <w:rFonts w:ascii="Arial" w:hAnsi="Arial" w:cs="Arial"/>
          <w:color w:val="auto"/>
          <w:szCs w:val="24"/>
        </w:rPr>
      </w:pPr>
      <w:r>
        <w:rPr>
          <w:rFonts w:ascii="Arial" w:hAnsi="Arial" w:cs="Arial"/>
          <w:color w:val="auto"/>
          <w:szCs w:val="24"/>
        </w:rPr>
        <w:t>T</w:t>
      </w:r>
      <w:r w:rsidR="003915E3" w:rsidRPr="003137EA">
        <w:rPr>
          <w:rFonts w:ascii="Arial" w:hAnsi="Arial" w:cs="Arial"/>
          <w:color w:val="auto"/>
          <w:szCs w:val="24"/>
        </w:rPr>
        <w:t xml:space="preserve">he costs of investment management. </w:t>
      </w:r>
    </w:p>
    <w:p w14:paraId="63867A59"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391094FB" w14:textId="77777777" w:rsidR="003915E3" w:rsidRPr="003137EA" w:rsidRDefault="003915E3" w:rsidP="00C34E03">
      <w:pPr>
        <w:spacing w:after="0" w:line="276" w:lineRule="auto"/>
        <w:ind w:left="742" w:right="31" w:firstLine="0"/>
        <w:rPr>
          <w:rFonts w:ascii="Arial" w:hAnsi="Arial" w:cs="Arial"/>
          <w:color w:val="auto"/>
          <w:szCs w:val="24"/>
        </w:rPr>
      </w:pPr>
      <w:r w:rsidRPr="003137EA">
        <w:rPr>
          <w:rFonts w:ascii="Arial" w:hAnsi="Arial" w:cs="Arial"/>
          <w:color w:val="auto"/>
          <w:szCs w:val="24"/>
        </w:rPr>
        <w:t xml:space="preserve">This list is not necessarily exhaustive. </w:t>
      </w:r>
    </w:p>
    <w:p w14:paraId="4C302332"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6DC30FFA" w14:textId="336C49B7" w:rsidR="003915E3" w:rsidRPr="003137EA" w:rsidRDefault="003915E3" w:rsidP="00C34E03">
      <w:pPr>
        <w:spacing w:after="0" w:line="276" w:lineRule="auto"/>
        <w:ind w:left="734" w:right="31"/>
        <w:rPr>
          <w:rFonts w:ascii="Arial" w:hAnsi="Arial" w:cs="Arial"/>
          <w:color w:val="auto"/>
          <w:szCs w:val="24"/>
        </w:rPr>
      </w:pPr>
      <w:r w:rsidRPr="003137EA">
        <w:rPr>
          <w:rFonts w:ascii="Arial" w:hAnsi="Arial" w:cs="Arial"/>
          <w:color w:val="auto"/>
          <w:szCs w:val="24"/>
        </w:rPr>
        <w:t>10.6</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With the exception of the investment related charges exempted above and the cost of protection benefits, if any, all other charges must be treated as deductions to cover expenses (and/or profits). The following is a typical list of such charges in the context of a unit-linked investment vehicle, but this list is not necessarily exhaustive. </w:t>
      </w:r>
    </w:p>
    <w:p w14:paraId="6F48C95A"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lastRenderedPageBreak/>
        <w:t xml:space="preserve"> </w:t>
      </w:r>
    </w:p>
    <w:p w14:paraId="56617250" w14:textId="6F6D3E58" w:rsidR="003915E3" w:rsidRPr="003137EA" w:rsidRDefault="003915E3" w:rsidP="00C34E03">
      <w:pPr>
        <w:numPr>
          <w:ilvl w:val="0"/>
          <w:numId w:val="12"/>
        </w:numPr>
        <w:spacing w:after="0" w:line="276" w:lineRule="auto"/>
        <w:ind w:left="1276" w:right="31" w:hanging="567"/>
        <w:rPr>
          <w:rFonts w:ascii="Arial" w:hAnsi="Arial" w:cs="Arial"/>
          <w:color w:val="auto"/>
          <w:szCs w:val="24"/>
        </w:rPr>
      </w:pPr>
      <w:r w:rsidRPr="003137EA">
        <w:rPr>
          <w:rFonts w:ascii="Arial" w:hAnsi="Arial" w:cs="Arial"/>
          <w:color w:val="auto"/>
          <w:szCs w:val="24"/>
        </w:rPr>
        <w:t xml:space="preserve">Contribution charges, premium </w:t>
      </w:r>
      <w:r w:rsidR="002D1003" w:rsidRPr="003137EA">
        <w:rPr>
          <w:rFonts w:ascii="Arial" w:hAnsi="Arial" w:cs="Arial"/>
          <w:color w:val="auto"/>
          <w:szCs w:val="24"/>
        </w:rPr>
        <w:t>charges,</w:t>
      </w:r>
      <w:r w:rsidRPr="003137EA">
        <w:rPr>
          <w:rFonts w:ascii="Arial" w:hAnsi="Arial" w:cs="Arial"/>
          <w:color w:val="auto"/>
          <w:szCs w:val="24"/>
        </w:rPr>
        <w:t xml:space="preserve"> or bid/offer spreads. </w:t>
      </w:r>
      <w:r w:rsidR="00E95636">
        <w:rPr>
          <w:rFonts w:ascii="Arial" w:hAnsi="Arial" w:cs="Arial"/>
          <w:color w:val="auto"/>
          <w:szCs w:val="24"/>
        </w:rPr>
        <w:t>‘</w:t>
      </w:r>
      <w:r w:rsidRPr="003137EA">
        <w:rPr>
          <w:rFonts w:ascii="Arial" w:hAnsi="Arial" w:cs="Arial"/>
          <w:color w:val="auto"/>
          <w:szCs w:val="24"/>
        </w:rPr>
        <w:t>Charges</w:t>
      </w:r>
      <w:r w:rsidR="00E95636">
        <w:rPr>
          <w:rFonts w:ascii="Arial" w:hAnsi="Arial" w:cs="Arial"/>
          <w:color w:val="auto"/>
          <w:szCs w:val="24"/>
        </w:rPr>
        <w:t>’</w:t>
      </w:r>
      <w:r w:rsidRPr="003137EA">
        <w:rPr>
          <w:rFonts w:ascii="Arial" w:hAnsi="Arial" w:cs="Arial"/>
          <w:color w:val="auto"/>
          <w:szCs w:val="24"/>
        </w:rPr>
        <w:t xml:space="preserve"> arising from the operation of dual pricing which do not accrue to the provider of the unit-linked investment vehicle need not be shown as deductions</w:t>
      </w:r>
      <w:r w:rsidR="00E95636">
        <w:rPr>
          <w:rFonts w:ascii="Arial" w:hAnsi="Arial" w:cs="Arial"/>
          <w:color w:val="auto"/>
          <w:szCs w:val="24"/>
        </w:rPr>
        <w:t>.</w:t>
      </w:r>
      <w:r w:rsidRPr="003137EA">
        <w:rPr>
          <w:rFonts w:ascii="Arial" w:hAnsi="Arial" w:cs="Arial"/>
          <w:color w:val="auto"/>
          <w:szCs w:val="24"/>
        </w:rPr>
        <w:t xml:space="preserve"> </w:t>
      </w:r>
    </w:p>
    <w:p w14:paraId="736B4133" w14:textId="77777777" w:rsidR="003915E3" w:rsidRPr="003137EA" w:rsidRDefault="003915E3" w:rsidP="00C34E03">
      <w:pPr>
        <w:spacing w:after="0" w:line="276" w:lineRule="auto"/>
        <w:ind w:left="1276" w:hanging="567"/>
        <w:rPr>
          <w:rFonts w:ascii="Arial" w:hAnsi="Arial" w:cs="Arial"/>
          <w:color w:val="auto"/>
          <w:szCs w:val="24"/>
        </w:rPr>
      </w:pPr>
      <w:r w:rsidRPr="003137EA">
        <w:rPr>
          <w:rFonts w:ascii="Arial" w:hAnsi="Arial" w:cs="Arial"/>
          <w:color w:val="auto"/>
          <w:szCs w:val="24"/>
        </w:rPr>
        <w:t xml:space="preserve"> </w:t>
      </w:r>
    </w:p>
    <w:p w14:paraId="74B12F12" w14:textId="3C6A8833" w:rsidR="003915E3" w:rsidRPr="003137EA" w:rsidRDefault="003915E3" w:rsidP="00C34E03">
      <w:pPr>
        <w:numPr>
          <w:ilvl w:val="0"/>
          <w:numId w:val="12"/>
        </w:numPr>
        <w:spacing w:after="0" w:line="276" w:lineRule="auto"/>
        <w:ind w:left="1276" w:right="31" w:hanging="567"/>
        <w:rPr>
          <w:rFonts w:ascii="Arial" w:hAnsi="Arial" w:cs="Arial"/>
          <w:color w:val="auto"/>
          <w:szCs w:val="24"/>
        </w:rPr>
      </w:pPr>
      <w:r w:rsidRPr="003137EA">
        <w:rPr>
          <w:rFonts w:ascii="Arial" w:hAnsi="Arial" w:cs="Arial"/>
          <w:color w:val="auto"/>
          <w:szCs w:val="24"/>
        </w:rPr>
        <w:t xml:space="preserve">Regular management charges net of </w:t>
      </w:r>
      <w:r w:rsidR="00E95636">
        <w:rPr>
          <w:rFonts w:ascii="Arial" w:hAnsi="Arial" w:cs="Arial"/>
          <w:color w:val="auto"/>
          <w:szCs w:val="24"/>
        </w:rPr>
        <w:t>‘</w:t>
      </w:r>
      <w:r w:rsidRPr="003137EA">
        <w:rPr>
          <w:rFonts w:ascii="Arial" w:hAnsi="Arial" w:cs="Arial"/>
          <w:color w:val="auto"/>
          <w:szCs w:val="24"/>
        </w:rPr>
        <w:t>loyalty bonuses</w:t>
      </w:r>
      <w:r w:rsidR="00E95636">
        <w:rPr>
          <w:rFonts w:ascii="Arial" w:hAnsi="Arial" w:cs="Arial"/>
          <w:color w:val="auto"/>
          <w:szCs w:val="24"/>
        </w:rPr>
        <w:t>’</w:t>
      </w:r>
      <w:r w:rsidRPr="003137EA">
        <w:rPr>
          <w:rFonts w:ascii="Arial" w:hAnsi="Arial" w:cs="Arial"/>
          <w:color w:val="auto"/>
          <w:szCs w:val="24"/>
        </w:rPr>
        <w:t xml:space="preserve">, to the extent that these are in addition to the investment costs described in </w:t>
      </w:r>
      <w:r w:rsidR="00B1005B">
        <w:rPr>
          <w:rFonts w:ascii="Arial" w:hAnsi="Arial" w:cs="Arial"/>
          <w:color w:val="auto"/>
          <w:szCs w:val="24"/>
        </w:rPr>
        <w:t>p</w:t>
      </w:r>
      <w:r w:rsidRPr="003137EA">
        <w:rPr>
          <w:rFonts w:ascii="Arial" w:hAnsi="Arial" w:cs="Arial"/>
          <w:color w:val="auto"/>
          <w:szCs w:val="24"/>
        </w:rPr>
        <w:t>aragraph 10.4</w:t>
      </w:r>
      <w:r w:rsidR="00E95636">
        <w:rPr>
          <w:rFonts w:ascii="Arial" w:hAnsi="Arial" w:cs="Arial"/>
          <w:color w:val="auto"/>
          <w:szCs w:val="24"/>
        </w:rPr>
        <w:t>.</w:t>
      </w:r>
    </w:p>
    <w:p w14:paraId="4C67B4F5" w14:textId="77777777" w:rsidR="003915E3" w:rsidRPr="003137EA" w:rsidRDefault="003915E3" w:rsidP="00C34E03">
      <w:pPr>
        <w:spacing w:after="0" w:line="276" w:lineRule="auto"/>
        <w:ind w:left="1276" w:hanging="567"/>
        <w:rPr>
          <w:rFonts w:ascii="Arial" w:hAnsi="Arial" w:cs="Arial"/>
          <w:color w:val="auto"/>
          <w:szCs w:val="24"/>
        </w:rPr>
      </w:pPr>
      <w:r w:rsidRPr="003137EA">
        <w:rPr>
          <w:rFonts w:ascii="Arial" w:hAnsi="Arial" w:cs="Arial"/>
          <w:color w:val="auto"/>
          <w:szCs w:val="24"/>
        </w:rPr>
        <w:t xml:space="preserve"> </w:t>
      </w:r>
    </w:p>
    <w:p w14:paraId="4195F8BD" w14:textId="2FECC457" w:rsidR="003915E3" w:rsidRPr="003137EA" w:rsidRDefault="003915E3" w:rsidP="00C34E03">
      <w:pPr>
        <w:numPr>
          <w:ilvl w:val="0"/>
          <w:numId w:val="12"/>
        </w:numPr>
        <w:spacing w:after="0" w:line="276" w:lineRule="auto"/>
        <w:ind w:left="1276" w:right="31" w:hanging="567"/>
        <w:rPr>
          <w:rFonts w:ascii="Arial" w:hAnsi="Arial" w:cs="Arial"/>
          <w:color w:val="auto"/>
          <w:szCs w:val="24"/>
        </w:rPr>
      </w:pPr>
      <w:r w:rsidRPr="003137EA">
        <w:rPr>
          <w:rFonts w:ascii="Arial" w:hAnsi="Arial" w:cs="Arial"/>
          <w:color w:val="auto"/>
          <w:szCs w:val="24"/>
        </w:rPr>
        <w:t xml:space="preserve">Extra management charges on </w:t>
      </w:r>
      <w:r w:rsidR="00E95636">
        <w:rPr>
          <w:rFonts w:ascii="Arial" w:hAnsi="Arial" w:cs="Arial"/>
          <w:color w:val="auto"/>
          <w:szCs w:val="24"/>
        </w:rPr>
        <w:t>‘</w:t>
      </w:r>
      <w:r w:rsidRPr="003137EA">
        <w:rPr>
          <w:rFonts w:ascii="Arial" w:hAnsi="Arial" w:cs="Arial"/>
          <w:color w:val="auto"/>
          <w:szCs w:val="24"/>
        </w:rPr>
        <w:t>Initial</w:t>
      </w:r>
      <w:r w:rsidR="00E95636">
        <w:rPr>
          <w:rFonts w:ascii="Arial" w:hAnsi="Arial" w:cs="Arial"/>
          <w:color w:val="auto"/>
          <w:szCs w:val="24"/>
        </w:rPr>
        <w:t>’</w:t>
      </w:r>
      <w:r w:rsidRPr="003137EA">
        <w:rPr>
          <w:rFonts w:ascii="Arial" w:hAnsi="Arial" w:cs="Arial"/>
          <w:color w:val="auto"/>
          <w:szCs w:val="24"/>
        </w:rPr>
        <w:t xml:space="preserve"> or </w:t>
      </w:r>
      <w:r w:rsidR="00E95636">
        <w:rPr>
          <w:rFonts w:ascii="Arial" w:hAnsi="Arial" w:cs="Arial"/>
          <w:color w:val="auto"/>
          <w:szCs w:val="24"/>
        </w:rPr>
        <w:t>‘</w:t>
      </w:r>
      <w:r w:rsidRPr="003137EA">
        <w:rPr>
          <w:rFonts w:ascii="Arial" w:hAnsi="Arial" w:cs="Arial"/>
          <w:color w:val="auto"/>
          <w:szCs w:val="24"/>
        </w:rPr>
        <w:t>Capital</w:t>
      </w:r>
      <w:r w:rsidR="00E95636">
        <w:rPr>
          <w:rFonts w:ascii="Arial" w:hAnsi="Arial" w:cs="Arial"/>
          <w:color w:val="auto"/>
          <w:szCs w:val="24"/>
        </w:rPr>
        <w:t>’</w:t>
      </w:r>
      <w:r w:rsidRPr="003137EA">
        <w:rPr>
          <w:rFonts w:ascii="Arial" w:hAnsi="Arial" w:cs="Arial"/>
          <w:color w:val="auto"/>
          <w:szCs w:val="24"/>
        </w:rPr>
        <w:t xml:space="preserve"> units</w:t>
      </w:r>
      <w:r w:rsidR="00E95636">
        <w:rPr>
          <w:rFonts w:ascii="Arial" w:hAnsi="Arial" w:cs="Arial"/>
          <w:color w:val="auto"/>
          <w:szCs w:val="24"/>
        </w:rPr>
        <w:t>.</w:t>
      </w:r>
    </w:p>
    <w:p w14:paraId="31744D6B" w14:textId="77777777" w:rsidR="003915E3" w:rsidRPr="003137EA" w:rsidRDefault="003915E3" w:rsidP="00C34E03">
      <w:pPr>
        <w:spacing w:after="0" w:line="276" w:lineRule="auto"/>
        <w:ind w:left="1276" w:hanging="567"/>
        <w:rPr>
          <w:rFonts w:ascii="Arial" w:hAnsi="Arial" w:cs="Arial"/>
          <w:color w:val="auto"/>
          <w:szCs w:val="24"/>
        </w:rPr>
      </w:pPr>
      <w:r w:rsidRPr="003137EA">
        <w:rPr>
          <w:rFonts w:ascii="Arial" w:hAnsi="Arial" w:cs="Arial"/>
          <w:color w:val="auto"/>
          <w:szCs w:val="24"/>
        </w:rPr>
        <w:t xml:space="preserve"> </w:t>
      </w:r>
    </w:p>
    <w:p w14:paraId="55CAC4C8" w14:textId="728D70F1" w:rsidR="003915E3" w:rsidRPr="003137EA" w:rsidRDefault="003915E3" w:rsidP="00C34E03">
      <w:pPr>
        <w:numPr>
          <w:ilvl w:val="0"/>
          <w:numId w:val="12"/>
        </w:numPr>
        <w:spacing w:after="0" w:line="276" w:lineRule="auto"/>
        <w:ind w:left="1276" w:right="31" w:hanging="567"/>
        <w:rPr>
          <w:rFonts w:ascii="Arial" w:hAnsi="Arial" w:cs="Arial"/>
          <w:color w:val="auto"/>
          <w:szCs w:val="24"/>
        </w:rPr>
      </w:pPr>
      <w:r w:rsidRPr="003137EA">
        <w:rPr>
          <w:rFonts w:ascii="Arial" w:hAnsi="Arial" w:cs="Arial"/>
          <w:color w:val="auto"/>
          <w:szCs w:val="24"/>
        </w:rPr>
        <w:t>Retention of dividend and other income</w:t>
      </w:r>
      <w:r w:rsidR="00E95636">
        <w:rPr>
          <w:rFonts w:ascii="Arial" w:hAnsi="Arial" w:cs="Arial"/>
          <w:color w:val="auto"/>
          <w:szCs w:val="24"/>
        </w:rPr>
        <w:t>.</w:t>
      </w:r>
    </w:p>
    <w:p w14:paraId="5EEC0E5C" w14:textId="77777777" w:rsidR="003915E3" w:rsidRPr="003137EA" w:rsidRDefault="003915E3" w:rsidP="00C34E03">
      <w:pPr>
        <w:spacing w:after="0" w:line="276" w:lineRule="auto"/>
        <w:ind w:left="1276" w:hanging="567"/>
        <w:rPr>
          <w:rFonts w:ascii="Arial" w:hAnsi="Arial" w:cs="Arial"/>
          <w:color w:val="auto"/>
          <w:szCs w:val="24"/>
        </w:rPr>
      </w:pPr>
      <w:r w:rsidRPr="003137EA">
        <w:rPr>
          <w:rFonts w:ascii="Arial" w:hAnsi="Arial" w:cs="Arial"/>
          <w:color w:val="auto"/>
          <w:szCs w:val="24"/>
        </w:rPr>
        <w:t xml:space="preserve"> </w:t>
      </w:r>
    </w:p>
    <w:p w14:paraId="20EFDA3B" w14:textId="0E4B12ED" w:rsidR="003915E3" w:rsidRPr="003137EA" w:rsidRDefault="003915E3" w:rsidP="00C34E03">
      <w:pPr>
        <w:numPr>
          <w:ilvl w:val="0"/>
          <w:numId w:val="12"/>
        </w:numPr>
        <w:spacing w:after="0" w:line="276" w:lineRule="auto"/>
        <w:ind w:left="1276" w:right="31" w:hanging="567"/>
        <w:rPr>
          <w:rFonts w:ascii="Arial" w:hAnsi="Arial" w:cs="Arial"/>
          <w:color w:val="auto"/>
          <w:szCs w:val="24"/>
        </w:rPr>
      </w:pPr>
      <w:r w:rsidRPr="003137EA">
        <w:rPr>
          <w:rFonts w:ascii="Arial" w:hAnsi="Arial" w:cs="Arial"/>
          <w:color w:val="auto"/>
          <w:szCs w:val="24"/>
        </w:rPr>
        <w:t>Policy or account or contract fees</w:t>
      </w:r>
      <w:r w:rsidR="00E95636">
        <w:rPr>
          <w:rFonts w:ascii="Arial" w:hAnsi="Arial" w:cs="Arial"/>
          <w:color w:val="auto"/>
          <w:szCs w:val="24"/>
        </w:rPr>
        <w:t>.</w:t>
      </w:r>
    </w:p>
    <w:p w14:paraId="2C93D81C" w14:textId="77777777" w:rsidR="003915E3" w:rsidRPr="003137EA" w:rsidRDefault="003915E3" w:rsidP="00C34E03">
      <w:pPr>
        <w:spacing w:after="0" w:line="276" w:lineRule="auto"/>
        <w:ind w:left="1276" w:hanging="567"/>
        <w:rPr>
          <w:rFonts w:ascii="Arial" w:hAnsi="Arial" w:cs="Arial"/>
          <w:color w:val="auto"/>
          <w:szCs w:val="24"/>
        </w:rPr>
      </w:pPr>
      <w:r w:rsidRPr="003137EA">
        <w:rPr>
          <w:rFonts w:ascii="Arial" w:hAnsi="Arial" w:cs="Arial"/>
          <w:color w:val="auto"/>
          <w:szCs w:val="24"/>
        </w:rPr>
        <w:t xml:space="preserve"> </w:t>
      </w:r>
    </w:p>
    <w:p w14:paraId="3ED6795F" w14:textId="1F7C29D6" w:rsidR="003915E3" w:rsidRPr="003137EA" w:rsidRDefault="003915E3" w:rsidP="00C34E03">
      <w:pPr>
        <w:numPr>
          <w:ilvl w:val="0"/>
          <w:numId w:val="12"/>
        </w:numPr>
        <w:spacing w:after="0" w:line="276" w:lineRule="auto"/>
        <w:ind w:left="1276" w:right="31" w:hanging="567"/>
        <w:rPr>
          <w:rFonts w:ascii="Arial" w:hAnsi="Arial" w:cs="Arial"/>
          <w:color w:val="auto"/>
          <w:szCs w:val="24"/>
        </w:rPr>
      </w:pPr>
      <w:r w:rsidRPr="003137EA">
        <w:rPr>
          <w:rFonts w:ascii="Arial" w:hAnsi="Arial" w:cs="Arial"/>
          <w:color w:val="auto"/>
          <w:szCs w:val="24"/>
        </w:rPr>
        <w:t>Reduced allocations of contributions to units</w:t>
      </w:r>
      <w:r w:rsidR="00E95636">
        <w:rPr>
          <w:rFonts w:ascii="Arial" w:hAnsi="Arial" w:cs="Arial"/>
          <w:color w:val="auto"/>
          <w:szCs w:val="24"/>
        </w:rPr>
        <w:t>.</w:t>
      </w:r>
    </w:p>
    <w:p w14:paraId="44FB0B20" w14:textId="77777777" w:rsidR="003915E3" w:rsidRPr="003137EA" w:rsidRDefault="003915E3" w:rsidP="00C34E03">
      <w:pPr>
        <w:spacing w:after="0" w:line="276" w:lineRule="auto"/>
        <w:ind w:left="1276" w:hanging="567"/>
        <w:rPr>
          <w:rFonts w:ascii="Arial" w:hAnsi="Arial" w:cs="Arial"/>
          <w:color w:val="auto"/>
          <w:szCs w:val="24"/>
        </w:rPr>
      </w:pPr>
      <w:r w:rsidRPr="003137EA">
        <w:rPr>
          <w:rFonts w:ascii="Arial" w:hAnsi="Arial" w:cs="Arial"/>
          <w:color w:val="auto"/>
          <w:szCs w:val="24"/>
        </w:rPr>
        <w:t xml:space="preserve"> </w:t>
      </w:r>
    </w:p>
    <w:p w14:paraId="6DE6ADC1" w14:textId="39595D87" w:rsidR="003915E3" w:rsidRPr="003137EA" w:rsidRDefault="003915E3" w:rsidP="00C34E03">
      <w:pPr>
        <w:numPr>
          <w:ilvl w:val="0"/>
          <w:numId w:val="12"/>
        </w:numPr>
        <w:spacing w:after="0" w:line="276" w:lineRule="auto"/>
        <w:ind w:left="1276" w:right="31" w:hanging="567"/>
        <w:rPr>
          <w:rFonts w:ascii="Arial" w:hAnsi="Arial" w:cs="Arial"/>
          <w:color w:val="auto"/>
          <w:szCs w:val="24"/>
        </w:rPr>
      </w:pPr>
      <w:r w:rsidRPr="003137EA">
        <w:rPr>
          <w:rFonts w:ascii="Arial" w:hAnsi="Arial" w:cs="Arial"/>
          <w:color w:val="auto"/>
          <w:szCs w:val="24"/>
        </w:rPr>
        <w:t>Non-investment periods during which contributions received are not allocated to units</w:t>
      </w:r>
      <w:r w:rsidR="00E95636">
        <w:rPr>
          <w:rFonts w:ascii="Arial" w:hAnsi="Arial" w:cs="Arial"/>
          <w:color w:val="auto"/>
          <w:szCs w:val="24"/>
        </w:rPr>
        <w:t>.</w:t>
      </w:r>
    </w:p>
    <w:p w14:paraId="45A4AADE" w14:textId="77777777" w:rsidR="003915E3" w:rsidRPr="003137EA" w:rsidRDefault="003915E3" w:rsidP="00C34E03">
      <w:pPr>
        <w:spacing w:after="0" w:line="276" w:lineRule="auto"/>
        <w:ind w:left="1276" w:hanging="567"/>
        <w:rPr>
          <w:rFonts w:ascii="Arial" w:hAnsi="Arial" w:cs="Arial"/>
          <w:color w:val="auto"/>
          <w:szCs w:val="24"/>
        </w:rPr>
      </w:pPr>
      <w:r w:rsidRPr="003137EA">
        <w:rPr>
          <w:rFonts w:ascii="Arial" w:hAnsi="Arial" w:cs="Arial"/>
          <w:color w:val="auto"/>
          <w:szCs w:val="24"/>
        </w:rPr>
        <w:t xml:space="preserve"> </w:t>
      </w:r>
    </w:p>
    <w:p w14:paraId="593BD3E6" w14:textId="33549237" w:rsidR="003915E3" w:rsidRPr="003137EA" w:rsidRDefault="00E95636" w:rsidP="00C34E03">
      <w:pPr>
        <w:numPr>
          <w:ilvl w:val="0"/>
          <w:numId w:val="12"/>
        </w:numPr>
        <w:spacing w:after="0" w:line="276" w:lineRule="auto"/>
        <w:ind w:left="1276" w:right="31" w:hanging="567"/>
        <w:rPr>
          <w:rFonts w:ascii="Arial" w:hAnsi="Arial" w:cs="Arial"/>
          <w:color w:val="auto"/>
          <w:szCs w:val="24"/>
        </w:rPr>
      </w:pPr>
      <w:r>
        <w:rPr>
          <w:rFonts w:ascii="Arial" w:hAnsi="Arial" w:cs="Arial"/>
          <w:color w:val="auto"/>
          <w:szCs w:val="24"/>
        </w:rPr>
        <w:t>‘</w:t>
      </w:r>
      <w:r w:rsidR="003915E3" w:rsidRPr="003137EA">
        <w:rPr>
          <w:rFonts w:ascii="Arial" w:hAnsi="Arial" w:cs="Arial"/>
          <w:color w:val="auto"/>
          <w:szCs w:val="24"/>
        </w:rPr>
        <w:t>Rounding</w:t>
      </w:r>
      <w:r>
        <w:rPr>
          <w:rFonts w:ascii="Arial" w:hAnsi="Arial" w:cs="Arial"/>
          <w:color w:val="auto"/>
          <w:szCs w:val="24"/>
        </w:rPr>
        <w:t>’</w:t>
      </w:r>
      <w:r w:rsidR="003915E3" w:rsidRPr="003137EA">
        <w:rPr>
          <w:rFonts w:ascii="Arial" w:hAnsi="Arial" w:cs="Arial"/>
          <w:color w:val="auto"/>
          <w:szCs w:val="24"/>
        </w:rPr>
        <w:t xml:space="preserve"> charges. In making a best estimate of the effects of rounding charges where these are uncertain, the illustrations must err on the side of overstating the potential effect. Best practice would be to illustrate a </w:t>
      </w:r>
      <w:r>
        <w:rPr>
          <w:rFonts w:ascii="Arial" w:hAnsi="Arial" w:cs="Arial"/>
          <w:color w:val="auto"/>
          <w:szCs w:val="24"/>
        </w:rPr>
        <w:t>‘</w:t>
      </w:r>
      <w:r w:rsidR="003915E3" w:rsidRPr="003137EA">
        <w:rPr>
          <w:rFonts w:ascii="Arial" w:hAnsi="Arial" w:cs="Arial"/>
          <w:color w:val="auto"/>
          <w:szCs w:val="24"/>
        </w:rPr>
        <w:t>worst case</w:t>
      </w:r>
      <w:r>
        <w:rPr>
          <w:rFonts w:ascii="Arial" w:hAnsi="Arial" w:cs="Arial"/>
          <w:color w:val="auto"/>
          <w:szCs w:val="24"/>
        </w:rPr>
        <w:t>’</w:t>
      </w:r>
      <w:r w:rsidR="003915E3" w:rsidRPr="003137EA">
        <w:rPr>
          <w:rFonts w:ascii="Arial" w:hAnsi="Arial" w:cs="Arial"/>
          <w:color w:val="auto"/>
          <w:szCs w:val="24"/>
        </w:rPr>
        <w:t xml:space="preserve"> scenario</w:t>
      </w:r>
      <w:r>
        <w:rPr>
          <w:rFonts w:ascii="Arial" w:hAnsi="Arial" w:cs="Arial"/>
          <w:color w:val="auto"/>
          <w:szCs w:val="24"/>
        </w:rPr>
        <w:t>.</w:t>
      </w:r>
    </w:p>
    <w:p w14:paraId="2AA19A63" w14:textId="13024761" w:rsidR="003915E3" w:rsidRPr="003137EA" w:rsidRDefault="003915E3" w:rsidP="00C34E03">
      <w:pPr>
        <w:spacing w:after="0" w:line="276" w:lineRule="auto"/>
        <w:ind w:left="1276" w:right="8263" w:hanging="567"/>
        <w:rPr>
          <w:rFonts w:ascii="Arial" w:hAnsi="Arial" w:cs="Arial"/>
          <w:color w:val="auto"/>
          <w:szCs w:val="24"/>
        </w:rPr>
      </w:pPr>
      <w:r w:rsidRPr="003137EA">
        <w:rPr>
          <w:rFonts w:ascii="Arial" w:hAnsi="Arial" w:cs="Arial"/>
          <w:color w:val="auto"/>
          <w:szCs w:val="24"/>
        </w:rPr>
        <w:t xml:space="preserve">   </w:t>
      </w:r>
    </w:p>
    <w:p w14:paraId="14ACA3FB" w14:textId="1D8243E0" w:rsidR="003915E3" w:rsidRPr="003137EA" w:rsidRDefault="003915E3" w:rsidP="00C34E03">
      <w:pPr>
        <w:numPr>
          <w:ilvl w:val="0"/>
          <w:numId w:val="12"/>
        </w:numPr>
        <w:spacing w:after="0" w:line="276" w:lineRule="auto"/>
        <w:ind w:left="1276" w:right="31" w:hanging="567"/>
        <w:rPr>
          <w:rFonts w:ascii="Arial" w:hAnsi="Arial" w:cs="Arial"/>
          <w:color w:val="auto"/>
          <w:szCs w:val="24"/>
        </w:rPr>
      </w:pPr>
      <w:r w:rsidRPr="003137EA">
        <w:rPr>
          <w:rFonts w:ascii="Arial" w:hAnsi="Arial" w:cs="Arial"/>
          <w:color w:val="auto"/>
          <w:szCs w:val="24"/>
        </w:rPr>
        <w:t>Explicit charges, e.g.</w:t>
      </w:r>
      <w:r w:rsidR="00E95636">
        <w:rPr>
          <w:rFonts w:ascii="Arial" w:hAnsi="Arial" w:cs="Arial"/>
          <w:color w:val="auto"/>
          <w:szCs w:val="24"/>
        </w:rPr>
        <w:t>,</w:t>
      </w:r>
      <w:r w:rsidRPr="003137EA">
        <w:rPr>
          <w:rFonts w:ascii="Arial" w:hAnsi="Arial" w:cs="Arial"/>
          <w:color w:val="auto"/>
          <w:szCs w:val="24"/>
        </w:rPr>
        <w:t xml:space="preserve"> for policy/account/contract set-up charges or medical expenses. </w:t>
      </w:r>
    </w:p>
    <w:p w14:paraId="3E1B89C2"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4180AC72" w14:textId="378D98E8" w:rsidR="003915E3" w:rsidRPr="00EA7D94" w:rsidRDefault="003915E3" w:rsidP="00C34E03">
      <w:pPr>
        <w:spacing w:after="0" w:line="276" w:lineRule="auto"/>
        <w:ind w:left="709" w:firstLine="17"/>
        <w:rPr>
          <w:rFonts w:ascii="Arial" w:hAnsi="Arial" w:cs="Arial"/>
        </w:rPr>
      </w:pPr>
      <w:r w:rsidRPr="00EA7D94">
        <w:rPr>
          <w:rFonts w:ascii="Arial" w:hAnsi="Arial" w:cs="Arial"/>
        </w:rPr>
        <w:t>In addition to these charges, penalties may apply</w:t>
      </w:r>
      <w:r w:rsidR="006A153B">
        <w:rPr>
          <w:rFonts w:ascii="Arial" w:hAnsi="Arial" w:cs="Arial"/>
        </w:rPr>
        <w:t>,</w:t>
      </w:r>
      <w:r w:rsidRPr="00EA7D94">
        <w:rPr>
          <w:rFonts w:ascii="Arial" w:hAnsi="Arial" w:cs="Arial"/>
        </w:rPr>
        <w:t xml:space="preserve"> and these must be allowed for in illustrations of projected benefits. </w:t>
      </w:r>
    </w:p>
    <w:p w14:paraId="00646A82"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2756AF95" w14:textId="1B3C3B85" w:rsidR="003915E3" w:rsidRPr="003137EA" w:rsidRDefault="003915E3" w:rsidP="00C34E03">
      <w:pPr>
        <w:numPr>
          <w:ilvl w:val="1"/>
          <w:numId w:val="13"/>
        </w:numPr>
        <w:spacing w:after="0" w:line="276" w:lineRule="auto"/>
        <w:ind w:left="742" w:right="31" w:hanging="742"/>
        <w:rPr>
          <w:rFonts w:ascii="Arial" w:hAnsi="Arial" w:cs="Arial"/>
          <w:color w:val="auto"/>
          <w:szCs w:val="24"/>
        </w:rPr>
      </w:pPr>
      <w:r w:rsidRPr="003137EA">
        <w:rPr>
          <w:rFonts w:ascii="Arial" w:hAnsi="Arial" w:cs="Arial"/>
          <w:color w:val="auto"/>
          <w:szCs w:val="24"/>
        </w:rPr>
        <w:t>For some products, e.g.</w:t>
      </w:r>
      <w:r w:rsidR="00EA7D94">
        <w:rPr>
          <w:rFonts w:ascii="Arial" w:hAnsi="Arial" w:cs="Arial"/>
          <w:color w:val="auto"/>
          <w:szCs w:val="24"/>
        </w:rPr>
        <w:t>,</w:t>
      </w:r>
      <w:r w:rsidRPr="003137EA">
        <w:rPr>
          <w:rFonts w:ascii="Arial" w:hAnsi="Arial" w:cs="Arial"/>
          <w:color w:val="auto"/>
          <w:szCs w:val="24"/>
        </w:rPr>
        <w:t xml:space="preserve"> those where the charge takes the form of all or a proportion of the investment income from a portfolio of investment securities or all or a proportion of the dividend yield on an index of security prices or other measure of capital values, the form of the charge will be explicit</w:t>
      </w:r>
      <w:r w:rsidR="00EA7D94">
        <w:rPr>
          <w:rFonts w:ascii="Arial" w:hAnsi="Arial" w:cs="Arial"/>
          <w:color w:val="auto"/>
          <w:szCs w:val="24"/>
        </w:rPr>
        <w:t>,</w:t>
      </w:r>
      <w:r w:rsidRPr="003137EA">
        <w:rPr>
          <w:rFonts w:ascii="Arial" w:hAnsi="Arial" w:cs="Arial"/>
          <w:color w:val="auto"/>
          <w:szCs w:val="24"/>
        </w:rPr>
        <w:t xml:space="preserve"> but its level may not be known precisely at inception of the contract but may, for example, become known only as actual experience emerges. In these circumstances, illustrations of projected retirement benefits must be based on best estimates of the anticipated deductions. The pricing of the product will have been based on a targeted level of deductions and, where available, this may provide a suitable estimate. </w:t>
      </w:r>
    </w:p>
    <w:p w14:paraId="439A9D01"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lastRenderedPageBreak/>
        <w:t xml:space="preserve"> </w:t>
      </w:r>
    </w:p>
    <w:p w14:paraId="1D86083B" w14:textId="77777777" w:rsidR="003915E3" w:rsidRPr="003137EA" w:rsidRDefault="003915E3" w:rsidP="00C34E03">
      <w:pPr>
        <w:numPr>
          <w:ilvl w:val="1"/>
          <w:numId w:val="13"/>
        </w:numPr>
        <w:spacing w:after="0" w:line="276" w:lineRule="auto"/>
        <w:ind w:left="726" w:right="31" w:hanging="722"/>
        <w:rPr>
          <w:rFonts w:ascii="Arial" w:hAnsi="Arial" w:cs="Arial"/>
          <w:color w:val="auto"/>
          <w:szCs w:val="24"/>
        </w:rPr>
      </w:pPr>
      <w:r w:rsidRPr="003137EA">
        <w:rPr>
          <w:rFonts w:ascii="Arial" w:hAnsi="Arial" w:cs="Arial"/>
          <w:color w:val="auto"/>
          <w:szCs w:val="24"/>
        </w:rPr>
        <w:t xml:space="preserve">Where an asset of a scheme or of a contract is itself an investment in other packaged products or investment vehicles, it will be necessary to ‘look through’ to the underlying assets to ensure that all charges and expenses, both implicit and explicit, are included. </w:t>
      </w:r>
    </w:p>
    <w:p w14:paraId="39F6833F"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4115CA20" w14:textId="32141751" w:rsidR="003915E3" w:rsidRPr="003137EA" w:rsidRDefault="003915E3" w:rsidP="00C34E03">
      <w:pPr>
        <w:pStyle w:val="Heading3"/>
        <w:ind w:left="709" w:hanging="709"/>
      </w:pPr>
      <w:bookmarkStart w:id="10" w:name="_Toc109742784"/>
      <w:r w:rsidRPr="003137EA">
        <w:t>Additional information and/or adjusted methodology may be required</w:t>
      </w:r>
      <w:bookmarkEnd w:id="10"/>
      <w:r w:rsidRPr="003137EA">
        <w:t xml:space="preserve"> </w:t>
      </w:r>
    </w:p>
    <w:p w14:paraId="72CACE5A" w14:textId="3F055FC0" w:rsidR="003915E3" w:rsidRPr="003137EA" w:rsidRDefault="003915E3" w:rsidP="00C34E03">
      <w:pPr>
        <w:spacing w:after="0" w:line="276" w:lineRule="auto"/>
        <w:ind w:left="709" w:hanging="690"/>
        <w:rPr>
          <w:rFonts w:ascii="Arial" w:hAnsi="Arial" w:cs="Arial"/>
          <w:color w:val="auto"/>
          <w:szCs w:val="24"/>
        </w:rPr>
      </w:pPr>
      <w:r w:rsidRPr="003137EA">
        <w:rPr>
          <w:rFonts w:ascii="Arial" w:hAnsi="Arial" w:cs="Arial"/>
          <w:color w:val="auto"/>
          <w:szCs w:val="24"/>
        </w:rPr>
        <w:t>11.1</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If additional information is required </w:t>
      </w:r>
      <w:proofErr w:type="gramStart"/>
      <w:r w:rsidRPr="003137EA">
        <w:rPr>
          <w:rFonts w:ascii="Arial" w:hAnsi="Arial" w:cs="Arial"/>
          <w:color w:val="auto"/>
          <w:szCs w:val="24"/>
        </w:rPr>
        <w:t>in order to</w:t>
      </w:r>
      <w:proofErr w:type="gramEnd"/>
      <w:r w:rsidRPr="003137EA">
        <w:rPr>
          <w:rFonts w:ascii="Arial" w:hAnsi="Arial" w:cs="Arial"/>
          <w:color w:val="auto"/>
          <w:szCs w:val="24"/>
        </w:rPr>
        <w:t xml:space="preserve"> ensure that a </w:t>
      </w:r>
      <w:r w:rsidR="0016293A" w:rsidRPr="003137EA">
        <w:rPr>
          <w:rFonts w:ascii="Arial" w:hAnsi="Arial" w:cs="Arial"/>
          <w:color w:val="auto"/>
          <w:szCs w:val="24"/>
        </w:rPr>
        <w:t>PBS</w:t>
      </w:r>
      <w:r w:rsidRPr="003137EA">
        <w:rPr>
          <w:rFonts w:ascii="Arial" w:hAnsi="Arial" w:cs="Arial"/>
          <w:color w:val="auto"/>
          <w:szCs w:val="24"/>
        </w:rPr>
        <w:t xml:space="preserve"> is fair, clear and not misleading, such additional information must be included. </w:t>
      </w:r>
    </w:p>
    <w:p w14:paraId="695B4482"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6D602C21" w14:textId="3EC490B2" w:rsidR="003915E3" w:rsidRPr="003137EA" w:rsidRDefault="003915E3" w:rsidP="00C34E03">
      <w:pPr>
        <w:spacing w:after="0" w:line="276" w:lineRule="auto"/>
        <w:ind w:left="742" w:right="142" w:firstLine="0"/>
        <w:rPr>
          <w:rFonts w:ascii="Arial" w:hAnsi="Arial" w:cs="Arial"/>
          <w:color w:val="auto"/>
          <w:szCs w:val="24"/>
        </w:rPr>
      </w:pPr>
      <w:r w:rsidRPr="003137EA">
        <w:rPr>
          <w:rFonts w:ascii="Arial" w:hAnsi="Arial" w:cs="Arial"/>
          <w:color w:val="auto"/>
          <w:szCs w:val="24"/>
        </w:rPr>
        <w:t>An example of such a situation would be a scheme that is invested in an asset structure (e.g.</w:t>
      </w:r>
      <w:r w:rsidR="00157F50">
        <w:rPr>
          <w:rFonts w:ascii="Arial" w:hAnsi="Arial" w:cs="Arial"/>
          <w:color w:val="auto"/>
          <w:szCs w:val="24"/>
        </w:rPr>
        <w:t>,</w:t>
      </w:r>
      <w:r w:rsidRPr="003137EA">
        <w:rPr>
          <w:rFonts w:ascii="Arial" w:hAnsi="Arial" w:cs="Arial"/>
          <w:color w:val="auto"/>
          <w:szCs w:val="24"/>
        </w:rPr>
        <w:t xml:space="preserve"> an insured contract) under which relatively large bonuses may be added to the fund at the scheme member’s normal retirement date or in the year(s) immediately preceding that date. In this case, additional information must be provided to ensure that the scheme member is properly informed of the significance of the timing of the bonus. </w:t>
      </w:r>
    </w:p>
    <w:p w14:paraId="1D89E653"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4E55CD33" w14:textId="330F49E7" w:rsidR="003915E3" w:rsidRPr="003137EA" w:rsidRDefault="003915E3" w:rsidP="00C34E03">
      <w:pPr>
        <w:spacing w:after="0" w:line="276" w:lineRule="auto"/>
        <w:ind w:left="734" w:right="109"/>
        <w:rPr>
          <w:rFonts w:ascii="Arial" w:hAnsi="Arial" w:cs="Arial"/>
          <w:color w:val="auto"/>
          <w:szCs w:val="24"/>
        </w:rPr>
      </w:pPr>
      <w:r w:rsidRPr="003137EA">
        <w:rPr>
          <w:rFonts w:ascii="Arial" w:hAnsi="Arial" w:cs="Arial"/>
          <w:color w:val="auto"/>
          <w:szCs w:val="24"/>
        </w:rPr>
        <w:t>11.2</w:t>
      </w:r>
      <w:r w:rsidRPr="003137EA">
        <w:rPr>
          <w:rFonts w:ascii="Arial" w:eastAsia="Arial" w:hAnsi="Arial" w:cs="Arial"/>
          <w:color w:val="auto"/>
          <w:szCs w:val="24"/>
        </w:rPr>
        <w:t xml:space="preserve"> </w:t>
      </w:r>
      <w:r w:rsidRPr="003137EA">
        <w:rPr>
          <w:rFonts w:ascii="Arial" w:eastAsia="Arial" w:hAnsi="Arial" w:cs="Arial"/>
          <w:color w:val="auto"/>
          <w:szCs w:val="24"/>
        </w:rPr>
        <w:tab/>
      </w:r>
      <w:r w:rsidRPr="003137EA">
        <w:rPr>
          <w:rFonts w:ascii="Arial" w:hAnsi="Arial" w:cs="Arial"/>
          <w:color w:val="auto"/>
          <w:szCs w:val="24"/>
        </w:rPr>
        <w:t xml:space="preserve">It is possible that the prescribed illustration may give a misleading impression of the charging basis applicable to the assets or contracts in which the fund and/or contributions are invested. </w:t>
      </w:r>
    </w:p>
    <w:p w14:paraId="4CAE0F91"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4C98190C" w14:textId="77777777" w:rsidR="003915E3" w:rsidRPr="003137EA" w:rsidRDefault="003915E3" w:rsidP="00C34E03">
      <w:pPr>
        <w:spacing w:after="0" w:line="276" w:lineRule="auto"/>
        <w:ind w:left="742" w:right="209" w:firstLine="0"/>
        <w:rPr>
          <w:rFonts w:ascii="Arial" w:hAnsi="Arial" w:cs="Arial"/>
          <w:color w:val="auto"/>
          <w:szCs w:val="24"/>
        </w:rPr>
      </w:pPr>
      <w:r w:rsidRPr="003137EA">
        <w:rPr>
          <w:rFonts w:ascii="Arial" w:hAnsi="Arial" w:cs="Arial"/>
          <w:color w:val="auto"/>
          <w:szCs w:val="24"/>
        </w:rPr>
        <w:t xml:space="preserve">An extreme example of this would be a charging structure under which a proportion of the investment return </w:t>
      </w:r>
      <w:proofErr w:type="gramStart"/>
      <w:r w:rsidRPr="003137EA">
        <w:rPr>
          <w:rFonts w:ascii="Arial" w:hAnsi="Arial" w:cs="Arial"/>
          <w:color w:val="auto"/>
          <w:szCs w:val="24"/>
        </w:rPr>
        <w:t>in excess of</w:t>
      </w:r>
      <w:proofErr w:type="gramEnd"/>
      <w:r w:rsidRPr="003137EA">
        <w:rPr>
          <w:rFonts w:ascii="Arial" w:hAnsi="Arial" w:cs="Arial"/>
          <w:color w:val="auto"/>
          <w:szCs w:val="24"/>
        </w:rPr>
        <w:t xml:space="preserve"> a prescribed rate is deducted and retained by the provider of the underlying investment vehicle for its own account. A more likely example would be </w:t>
      </w:r>
      <w:proofErr w:type="gramStart"/>
      <w:r w:rsidRPr="003137EA">
        <w:rPr>
          <w:rFonts w:ascii="Arial" w:hAnsi="Arial" w:cs="Arial"/>
          <w:color w:val="auto"/>
          <w:szCs w:val="24"/>
        </w:rPr>
        <w:t>fund</w:t>
      </w:r>
      <w:proofErr w:type="gramEnd"/>
      <w:r w:rsidRPr="003137EA">
        <w:rPr>
          <w:rFonts w:ascii="Arial" w:hAnsi="Arial" w:cs="Arial"/>
          <w:color w:val="auto"/>
          <w:szCs w:val="24"/>
        </w:rPr>
        <w:t xml:space="preserve"> management charges which vary in accordance with investment performance. </w:t>
      </w:r>
    </w:p>
    <w:p w14:paraId="0205C65E"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3297B1EE" w14:textId="77777777" w:rsidR="003915E3" w:rsidRPr="003137EA" w:rsidRDefault="003915E3" w:rsidP="00C34E03">
      <w:pPr>
        <w:spacing w:after="0" w:line="276" w:lineRule="auto"/>
        <w:ind w:left="727" w:right="140" w:firstLine="0"/>
        <w:rPr>
          <w:rFonts w:ascii="Arial" w:hAnsi="Arial" w:cs="Arial"/>
          <w:color w:val="auto"/>
          <w:szCs w:val="24"/>
        </w:rPr>
      </w:pPr>
      <w:r w:rsidRPr="003137EA">
        <w:rPr>
          <w:rFonts w:ascii="Arial" w:hAnsi="Arial" w:cs="Arial"/>
          <w:color w:val="auto"/>
          <w:szCs w:val="24"/>
        </w:rPr>
        <w:t xml:space="preserve">Another example is certain derivative-based products where the benefit profile is not a smooth function of underlying investment returns and the illustrated scenario of a constant deterministic and conservative investment return could be totally misleading as to the potential benefits, and thus the charges, under such products. </w:t>
      </w:r>
    </w:p>
    <w:p w14:paraId="0091D0A2" w14:textId="77777777" w:rsidR="003915E3" w:rsidRPr="003137EA" w:rsidRDefault="003915E3" w:rsidP="00C34E03">
      <w:pPr>
        <w:spacing w:after="0" w:line="276" w:lineRule="auto"/>
        <w:ind w:left="19" w:firstLine="0"/>
        <w:rPr>
          <w:rFonts w:ascii="Arial" w:hAnsi="Arial" w:cs="Arial"/>
          <w:color w:val="auto"/>
          <w:szCs w:val="24"/>
        </w:rPr>
      </w:pPr>
      <w:r w:rsidRPr="003137EA">
        <w:rPr>
          <w:rFonts w:ascii="Arial" w:hAnsi="Arial" w:cs="Arial"/>
          <w:color w:val="auto"/>
          <w:szCs w:val="24"/>
        </w:rPr>
        <w:t xml:space="preserve"> </w:t>
      </w:r>
    </w:p>
    <w:p w14:paraId="74FD80CF" w14:textId="58BB6C10" w:rsidR="003915E3" w:rsidRPr="003137EA" w:rsidRDefault="003915E3" w:rsidP="00C34E03">
      <w:pPr>
        <w:spacing w:after="0" w:line="276" w:lineRule="auto"/>
        <w:ind w:left="739" w:right="31" w:firstLine="0"/>
        <w:rPr>
          <w:rFonts w:ascii="Arial" w:hAnsi="Arial" w:cs="Arial"/>
          <w:color w:val="auto"/>
          <w:szCs w:val="24"/>
        </w:rPr>
      </w:pPr>
      <w:r w:rsidRPr="003137EA">
        <w:rPr>
          <w:rFonts w:ascii="Arial" w:hAnsi="Arial" w:cs="Arial"/>
          <w:color w:val="auto"/>
          <w:szCs w:val="24"/>
        </w:rPr>
        <w:t xml:space="preserve">Undoubtedly these examples are not exhaustive. In such circumstances, an appropriate adjustment must be made to the calculations. The objective of this adjustment is to present a fairer illustration of the expected benefits after deductions for expenses and charges, rather than necessarily to present a precise reflection of the prescribed scenario. If necessary, the </w:t>
      </w:r>
      <w:r w:rsidR="0016293A" w:rsidRPr="003137EA">
        <w:rPr>
          <w:rFonts w:ascii="Arial" w:hAnsi="Arial" w:cs="Arial"/>
          <w:color w:val="auto"/>
          <w:szCs w:val="24"/>
        </w:rPr>
        <w:t xml:space="preserve">PBS </w:t>
      </w:r>
      <w:r w:rsidRPr="003137EA">
        <w:rPr>
          <w:rFonts w:ascii="Arial" w:hAnsi="Arial" w:cs="Arial"/>
          <w:color w:val="auto"/>
          <w:szCs w:val="24"/>
        </w:rPr>
        <w:t xml:space="preserve">must give a clear explanation of how and why a departure has been made from the prescribed formula. </w:t>
      </w:r>
    </w:p>
    <w:p w14:paraId="3C437A9D" w14:textId="77777777" w:rsidR="003915E3" w:rsidRPr="003137EA" w:rsidRDefault="003915E3" w:rsidP="00C34E03">
      <w:pPr>
        <w:spacing w:after="0" w:line="276" w:lineRule="auto"/>
        <w:ind w:left="0" w:firstLine="0"/>
        <w:rPr>
          <w:rFonts w:ascii="Arial" w:hAnsi="Arial" w:cs="Arial"/>
          <w:color w:val="auto"/>
          <w:szCs w:val="24"/>
        </w:rPr>
      </w:pPr>
      <w:r w:rsidRPr="003137EA">
        <w:rPr>
          <w:rFonts w:ascii="Arial" w:hAnsi="Arial" w:cs="Arial"/>
          <w:color w:val="auto"/>
          <w:szCs w:val="24"/>
        </w:rPr>
        <w:t xml:space="preserve"> </w:t>
      </w:r>
    </w:p>
    <w:p w14:paraId="03C3B055" w14:textId="77777777" w:rsidR="003915E3" w:rsidRPr="003137EA" w:rsidRDefault="003915E3" w:rsidP="00C34E03">
      <w:pPr>
        <w:spacing w:after="0" w:line="276" w:lineRule="auto"/>
        <w:ind w:left="19" w:firstLine="0"/>
        <w:rPr>
          <w:rFonts w:ascii="Arial" w:hAnsi="Arial" w:cs="Arial"/>
          <w:color w:val="auto"/>
          <w:szCs w:val="24"/>
        </w:rPr>
      </w:pPr>
    </w:p>
    <w:p w14:paraId="05505173" w14:textId="77777777" w:rsidR="003915E3" w:rsidRPr="003137EA" w:rsidRDefault="003915E3" w:rsidP="00C34E03">
      <w:pPr>
        <w:spacing w:after="0" w:line="276" w:lineRule="auto"/>
        <w:rPr>
          <w:rFonts w:ascii="Arial" w:hAnsi="Arial" w:cs="Arial"/>
          <w:color w:val="auto"/>
          <w:szCs w:val="24"/>
        </w:rPr>
        <w:sectPr w:rsidR="003915E3" w:rsidRPr="003137EA" w:rsidSect="0064397D">
          <w:pgSz w:w="11899" w:h="16838" w:code="9"/>
          <w:pgMar w:top="1440" w:right="1440" w:bottom="1440" w:left="1440" w:header="709" w:footer="709" w:gutter="0"/>
          <w:cols w:space="720"/>
          <w:titlePg/>
          <w:docGrid w:linePitch="326"/>
        </w:sectPr>
      </w:pPr>
    </w:p>
    <w:p w14:paraId="4B3C1315" w14:textId="335F87AC" w:rsidR="003915E3" w:rsidRPr="003137EA" w:rsidRDefault="007144B5" w:rsidP="00C34E03">
      <w:pPr>
        <w:pStyle w:val="Heading1"/>
      </w:pPr>
      <w:bookmarkStart w:id="11" w:name="_Toc109742785"/>
      <w:r>
        <w:lastRenderedPageBreak/>
        <w:t>Explanatory note</w:t>
      </w:r>
      <w:bookmarkEnd w:id="11"/>
    </w:p>
    <w:p w14:paraId="7D70CEA6" w14:textId="22BAEAB1" w:rsidR="003915E3" w:rsidRPr="003137EA" w:rsidRDefault="003915E3" w:rsidP="00C34E03">
      <w:pPr>
        <w:spacing w:after="0" w:line="276" w:lineRule="auto"/>
        <w:ind w:left="0" w:firstLine="0"/>
        <w:rPr>
          <w:rFonts w:ascii="Arial" w:hAnsi="Arial" w:cs="Arial"/>
          <w:color w:val="auto"/>
          <w:szCs w:val="24"/>
        </w:rPr>
      </w:pPr>
      <w:r w:rsidRPr="003137EA">
        <w:rPr>
          <w:rFonts w:ascii="Arial" w:hAnsi="Arial" w:cs="Arial"/>
          <w:b/>
          <w:i/>
          <w:color w:val="auto"/>
          <w:szCs w:val="24"/>
        </w:rPr>
        <w:t xml:space="preserve">This </w:t>
      </w:r>
      <w:r w:rsidR="007144B5">
        <w:rPr>
          <w:rFonts w:ascii="Arial" w:hAnsi="Arial" w:cs="Arial"/>
          <w:b/>
          <w:i/>
          <w:color w:val="auto"/>
          <w:szCs w:val="24"/>
        </w:rPr>
        <w:t>e</w:t>
      </w:r>
      <w:r w:rsidRPr="003137EA">
        <w:rPr>
          <w:rFonts w:ascii="Arial" w:hAnsi="Arial" w:cs="Arial"/>
          <w:b/>
          <w:i/>
          <w:color w:val="auto"/>
          <w:szCs w:val="24"/>
        </w:rPr>
        <w:t xml:space="preserve">xplanatory </w:t>
      </w:r>
      <w:r w:rsidR="007144B5">
        <w:rPr>
          <w:rFonts w:ascii="Arial" w:hAnsi="Arial" w:cs="Arial"/>
          <w:b/>
          <w:i/>
          <w:color w:val="auto"/>
          <w:szCs w:val="24"/>
        </w:rPr>
        <w:t>n</w:t>
      </w:r>
      <w:r w:rsidRPr="003137EA">
        <w:rPr>
          <w:rFonts w:ascii="Arial" w:hAnsi="Arial" w:cs="Arial"/>
          <w:b/>
          <w:i/>
          <w:color w:val="auto"/>
          <w:szCs w:val="24"/>
        </w:rPr>
        <w:t xml:space="preserve">ote does not form part of the guidance. </w:t>
      </w:r>
    </w:p>
    <w:p w14:paraId="221312EA" w14:textId="77777777" w:rsidR="00513D7D" w:rsidRPr="003137EA" w:rsidRDefault="00513D7D" w:rsidP="00C34E03">
      <w:pPr>
        <w:spacing w:after="0" w:line="276" w:lineRule="auto"/>
        <w:ind w:left="4" w:right="31" w:firstLine="0"/>
        <w:rPr>
          <w:rFonts w:ascii="Arial" w:hAnsi="Arial" w:cs="Arial"/>
          <w:color w:val="auto"/>
          <w:szCs w:val="24"/>
        </w:rPr>
      </w:pPr>
    </w:p>
    <w:tbl>
      <w:tblPr>
        <w:tblStyle w:val="TableGrid0"/>
        <w:tblW w:w="9053" w:type="dxa"/>
        <w:tblInd w:w="14" w:type="dxa"/>
        <w:tblCellMar>
          <w:top w:w="14" w:type="dxa"/>
          <w:left w:w="5" w:type="dxa"/>
          <w:bottom w:w="6" w:type="dxa"/>
          <w:right w:w="2" w:type="dxa"/>
        </w:tblCellMar>
        <w:tblLook w:val="04A0" w:firstRow="1" w:lastRow="0" w:firstColumn="1" w:lastColumn="0" w:noHBand="0" w:noVBand="1"/>
      </w:tblPr>
      <w:tblGrid>
        <w:gridCol w:w="4517"/>
        <w:gridCol w:w="1512"/>
        <w:gridCol w:w="1512"/>
        <w:gridCol w:w="1512"/>
      </w:tblGrid>
      <w:tr w:rsidR="004B1B63" w:rsidRPr="007144B5" w14:paraId="029BE9B1" w14:textId="64A9B0D4" w:rsidTr="00C34E03">
        <w:trPr>
          <w:trHeight w:val="929"/>
        </w:trPr>
        <w:tc>
          <w:tcPr>
            <w:tcW w:w="45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1D09C6" w14:textId="36B6D7C5" w:rsidR="004B1B63" w:rsidRPr="007144B5" w:rsidRDefault="004B1B63" w:rsidP="00C34E03">
            <w:pPr>
              <w:spacing w:after="0" w:line="276" w:lineRule="auto"/>
              <w:ind w:left="112" w:firstLine="0"/>
              <w:rPr>
                <w:rFonts w:ascii="Arial" w:hAnsi="Arial" w:cs="Arial"/>
                <w:color w:val="auto"/>
                <w:sz w:val="22"/>
              </w:rPr>
            </w:pPr>
            <w:r w:rsidRPr="007144B5">
              <w:rPr>
                <w:rFonts w:ascii="Arial" w:hAnsi="Arial" w:cs="Arial"/>
                <w:b/>
                <w:color w:val="auto"/>
                <w:sz w:val="22"/>
              </w:rPr>
              <w:t xml:space="preserve">Guidance </w:t>
            </w:r>
            <w:r>
              <w:rPr>
                <w:rFonts w:ascii="Arial" w:hAnsi="Arial" w:cs="Arial"/>
                <w:b/>
                <w:color w:val="auto"/>
                <w:sz w:val="22"/>
              </w:rPr>
              <w:t>f</w:t>
            </w:r>
            <w:r w:rsidRPr="007144B5">
              <w:rPr>
                <w:rFonts w:ascii="Arial" w:hAnsi="Arial" w:cs="Arial"/>
                <w:b/>
                <w:color w:val="auto"/>
                <w:sz w:val="22"/>
              </w:rPr>
              <w:t xml:space="preserve">inancial and </w:t>
            </w:r>
            <w:r>
              <w:rPr>
                <w:rFonts w:ascii="Arial" w:hAnsi="Arial" w:cs="Arial"/>
                <w:b/>
                <w:color w:val="auto"/>
                <w:sz w:val="22"/>
              </w:rPr>
              <w:t>e</w:t>
            </w:r>
            <w:r w:rsidRPr="007144B5">
              <w:rPr>
                <w:rFonts w:ascii="Arial" w:hAnsi="Arial" w:cs="Arial"/>
                <w:b/>
                <w:color w:val="auto"/>
                <w:sz w:val="22"/>
              </w:rPr>
              <w:t xml:space="preserve">conomic </w:t>
            </w:r>
            <w:r>
              <w:rPr>
                <w:rFonts w:ascii="Arial" w:hAnsi="Arial" w:cs="Arial"/>
                <w:b/>
                <w:color w:val="auto"/>
                <w:sz w:val="22"/>
              </w:rPr>
              <w:t>a</w:t>
            </w:r>
            <w:r w:rsidRPr="007144B5">
              <w:rPr>
                <w:rFonts w:ascii="Arial" w:hAnsi="Arial" w:cs="Arial"/>
                <w:b/>
                <w:color w:val="auto"/>
                <w:sz w:val="22"/>
              </w:rPr>
              <w:t xml:space="preserve">ssumptions </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0CD6AF" w14:textId="77777777" w:rsidR="004B1B63" w:rsidRPr="007144B5" w:rsidRDefault="004B1B63" w:rsidP="00C34E03">
            <w:pPr>
              <w:spacing w:after="0" w:line="276" w:lineRule="auto"/>
              <w:ind w:left="0" w:right="15" w:firstLine="0"/>
              <w:rPr>
                <w:rFonts w:ascii="Arial" w:hAnsi="Arial" w:cs="Arial"/>
                <w:color w:val="auto"/>
                <w:sz w:val="22"/>
              </w:rPr>
            </w:pPr>
            <w:r w:rsidRPr="007144B5">
              <w:rPr>
                <w:rFonts w:ascii="Arial" w:hAnsi="Arial" w:cs="Arial"/>
                <w:b/>
                <w:color w:val="auto"/>
                <w:sz w:val="22"/>
              </w:rPr>
              <w:t xml:space="preserve"> </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49F729" w14:textId="47851FBA" w:rsidR="004B1B63" w:rsidRPr="007144B5" w:rsidRDefault="004B1B63" w:rsidP="00C34E03">
            <w:pPr>
              <w:spacing w:after="0" w:line="276" w:lineRule="auto"/>
              <w:ind w:left="204" w:right="40" w:firstLine="0"/>
              <w:rPr>
                <w:rFonts w:ascii="Arial" w:hAnsi="Arial" w:cs="Arial"/>
                <w:color w:val="auto"/>
                <w:sz w:val="22"/>
              </w:rPr>
            </w:pPr>
            <w:r>
              <w:rPr>
                <w:rFonts w:ascii="Arial" w:hAnsi="Arial" w:cs="Arial"/>
                <w:b/>
                <w:color w:val="auto"/>
                <w:sz w:val="22"/>
              </w:rPr>
              <w:t>Previous</w:t>
            </w:r>
            <w:r w:rsidRPr="007144B5">
              <w:rPr>
                <w:rFonts w:ascii="Arial" w:hAnsi="Arial" w:cs="Arial"/>
                <w:b/>
                <w:color w:val="auto"/>
                <w:sz w:val="22"/>
              </w:rPr>
              <w:t xml:space="preserve"> version (</w:t>
            </w:r>
            <w:r>
              <w:rPr>
                <w:rFonts w:ascii="Arial" w:hAnsi="Arial" w:cs="Arial"/>
                <w:b/>
                <w:color w:val="auto"/>
                <w:sz w:val="22"/>
              </w:rPr>
              <w:t>1.</w:t>
            </w:r>
            <w:r w:rsidR="009C5E2F">
              <w:rPr>
                <w:rFonts w:ascii="Arial" w:hAnsi="Arial" w:cs="Arial"/>
                <w:b/>
                <w:color w:val="auto"/>
                <w:sz w:val="22"/>
              </w:rPr>
              <w:t>1</w:t>
            </w:r>
            <w:r w:rsidRPr="007144B5">
              <w:rPr>
                <w:rFonts w:ascii="Arial" w:hAnsi="Arial" w:cs="Arial"/>
                <w:b/>
                <w:color w:val="auto"/>
                <w:sz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F1ABB3" w14:textId="5EBE7A37" w:rsidR="004B1B63" w:rsidRPr="007144B5" w:rsidRDefault="004B1B63" w:rsidP="00C34E03">
            <w:pPr>
              <w:spacing w:after="0" w:line="276" w:lineRule="auto"/>
              <w:ind w:left="204" w:right="40" w:firstLine="0"/>
              <w:rPr>
                <w:rFonts w:ascii="Arial" w:hAnsi="Arial" w:cs="Arial"/>
                <w:b/>
                <w:color w:val="auto"/>
                <w:sz w:val="22"/>
              </w:rPr>
            </w:pPr>
            <w:r>
              <w:rPr>
                <w:rFonts w:ascii="Arial" w:hAnsi="Arial" w:cs="Arial"/>
                <w:b/>
                <w:color w:val="auto"/>
                <w:sz w:val="22"/>
              </w:rPr>
              <w:t>This version (1.</w:t>
            </w:r>
            <w:r w:rsidR="009C5E2F">
              <w:rPr>
                <w:rFonts w:ascii="Arial" w:hAnsi="Arial" w:cs="Arial"/>
                <w:b/>
                <w:color w:val="auto"/>
                <w:sz w:val="22"/>
              </w:rPr>
              <w:t>2</w:t>
            </w:r>
            <w:r>
              <w:rPr>
                <w:rFonts w:ascii="Arial" w:hAnsi="Arial" w:cs="Arial"/>
                <w:b/>
                <w:color w:val="auto"/>
                <w:sz w:val="22"/>
              </w:rPr>
              <w:t>)</w:t>
            </w:r>
          </w:p>
        </w:tc>
      </w:tr>
      <w:tr w:rsidR="004B1B63" w:rsidRPr="007144B5" w14:paraId="626E0FF9" w14:textId="3E54E771" w:rsidTr="00C34E03">
        <w:trPr>
          <w:trHeight w:val="624"/>
        </w:trPr>
        <w:tc>
          <w:tcPr>
            <w:tcW w:w="4517"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3260E047" w14:textId="77777777" w:rsidR="004B1B63" w:rsidRPr="007144B5" w:rsidRDefault="004B1B63" w:rsidP="00C34E03">
            <w:pPr>
              <w:spacing w:after="0" w:line="276" w:lineRule="auto"/>
              <w:ind w:left="112" w:firstLine="0"/>
              <w:rPr>
                <w:rFonts w:ascii="Arial" w:hAnsi="Arial" w:cs="Arial"/>
                <w:color w:val="auto"/>
                <w:sz w:val="22"/>
              </w:rPr>
            </w:pPr>
            <w:r w:rsidRPr="007144B5">
              <w:rPr>
                <w:rFonts w:ascii="Arial" w:hAnsi="Arial" w:cs="Arial"/>
                <w:b/>
                <w:color w:val="auto"/>
                <w:sz w:val="22"/>
              </w:rPr>
              <w:t xml:space="preserve">Assumption </w:t>
            </w:r>
          </w:p>
        </w:tc>
        <w:tc>
          <w:tcPr>
            <w:tcW w:w="151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4988C761" w14:textId="74A9AE62" w:rsidR="004B1B63" w:rsidRPr="007144B5" w:rsidRDefault="004B1B63" w:rsidP="00C34E03">
            <w:pPr>
              <w:spacing w:after="0" w:line="276" w:lineRule="auto"/>
              <w:ind w:left="48" w:firstLine="0"/>
              <w:rPr>
                <w:rFonts w:ascii="Arial" w:hAnsi="Arial" w:cs="Arial"/>
                <w:color w:val="auto"/>
                <w:sz w:val="22"/>
              </w:rPr>
            </w:pPr>
            <w:r w:rsidRPr="007144B5">
              <w:rPr>
                <w:rFonts w:ascii="Arial" w:hAnsi="Arial" w:cs="Arial"/>
                <w:b/>
                <w:color w:val="auto"/>
                <w:sz w:val="22"/>
              </w:rPr>
              <w:t>Reference</w:t>
            </w:r>
          </w:p>
        </w:tc>
        <w:tc>
          <w:tcPr>
            <w:tcW w:w="151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378AC9D7" w14:textId="7AB193C4" w:rsidR="004B1B63" w:rsidRPr="007144B5" w:rsidRDefault="004B1B63" w:rsidP="00C34E03">
            <w:pPr>
              <w:spacing w:after="0" w:line="276" w:lineRule="auto"/>
              <w:ind w:left="199" w:right="40" w:firstLine="0"/>
              <w:rPr>
                <w:rFonts w:ascii="Arial" w:hAnsi="Arial" w:cs="Arial"/>
                <w:color w:val="auto"/>
                <w:sz w:val="22"/>
              </w:rPr>
            </w:pPr>
            <w:r w:rsidRPr="007144B5">
              <w:rPr>
                <w:rFonts w:ascii="Arial" w:hAnsi="Arial" w:cs="Arial"/>
                <w:b/>
                <w:color w:val="auto"/>
                <w:sz w:val="22"/>
              </w:rPr>
              <w:t>Rate</w:t>
            </w:r>
          </w:p>
        </w:tc>
        <w:tc>
          <w:tcPr>
            <w:tcW w:w="151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5A3FA5BA" w14:textId="12FFE77C" w:rsidR="004B1B63" w:rsidRPr="007144B5" w:rsidRDefault="00AA2E53" w:rsidP="00C34E03">
            <w:pPr>
              <w:spacing w:after="0" w:line="276" w:lineRule="auto"/>
              <w:ind w:left="199" w:right="40" w:firstLine="0"/>
              <w:rPr>
                <w:rFonts w:ascii="Arial" w:hAnsi="Arial" w:cs="Arial"/>
                <w:b/>
                <w:color w:val="auto"/>
                <w:sz w:val="22"/>
              </w:rPr>
            </w:pPr>
            <w:r>
              <w:rPr>
                <w:rFonts w:ascii="Arial" w:hAnsi="Arial" w:cs="Arial"/>
                <w:b/>
                <w:color w:val="auto"/>
                <w:sz w:val="22"/>
              </w:rPr>
              <w:t>Rate</w:t>
            </w:r>
          </w:p>
        </w:tc>
      </w:tr>
      <w:tr w:rsidR="009C01E2" w:rsidRPr="007144B5" w14:paraId="13769CBF" w14:textId="56C5BBF1" w:rsidTr="00C34E03">
        <w:trPr>
          <w:trHeight w:val="624"/>
        </w:trPr>
        <w:tc>
          <w:tcPr>
            <w:tcW w:w="4517" w:type="dxa"/>
            <w:tcBorders>
              <w:top w:val="single" w:sz="4" w:space="0" w:color="000000"/>
              <w:left w:val="single" w:sz="4" w:space="0" w:color="000000"/>
              <w:bottom w:val="single" w:sz="4" w:space="0" w:color="000000"/>
              <w:right w:val="single" w:sz="4" w:space="0" w:color="000000"/>
            </w:tcBorders>
            <w:vAlign w:val="center"/>
          </w:tcPr>
          <w:p w14:paraId="3367BF9D" w14:textId="13CA54ED" w:rsidR="009C01E2" w:rsidRPr="007144B5" w:rsidRDefault="009C01E2" w:rsidP="00C34E03">
            <w:pPr>
              <w:spacing w:after="0" w:line="276" w:lineRule="auto"/>
              <w:ind w:left="112" w:firstLine="0"/>
              <w:rPr>
                <w:rFonts w:ascii="Arial" w:hAnsi="Arial" w:cs="Arial"/>
                <w:color w:val="auto"/>
                <w:sz w:val="22"/>
              </w:rPr>
            </w:pPr>
            <w:bookmarkStart w:id="12" w:name="_Hlk178693137"/>
            <w:r w:rsidRPr="007144B5">
              <w:rPr>
                <w:rFonts w:ascii="Arial" w:hAnsi="Arial" w:cs="Arial"/>
                <w:color w:val="auto"/>
                <w:sz w:val="22"/>
              </w:rPr>
              <w:t xml:space="preserve">Maximum </w:t>
            </w:r>
            <w:r>
              <w:rPr>
                <w:rFonts w:ascii="Arial" w:hAnsi="Arial" w:cs="Arial"/>
                <w:color w:val="auto"/>
                <w:sz w:val="22"/>
              </w:rPr>
              <w:t>i</w:t>
            </w:r>
            <w:r w:rsidRPr="007144B5">
              <w:rPr>
                <w:rFonts w:ascii="Arial" w:hAnsi="Arial" w:cs="Arial"/>
                <w:color w:val="auto"/>
                <w:sz w:val="22"/>
              </w:rPr>
              <w:t xml:space="preserve">nvestment growth </w:t>
            </w:r>
            <w:r>
              <w:rPr>
                <w:rFonts w:ascii="Arial" w:hAnsi="Arial" w:cs="Arial"/>
                <w:color w:val="auto"/>
                <w:sz w:val="22"/>
              </w:rPr>
              <w:t>–</w:t>
            </w:r>
            <w:r w:rsidRPr="007144B5">
              <w:rPr>
                <w:rFonts w:ascii="Arial" w:hAnsi="Arial" w:cs="Arial"/>
                <w:color w:val="auto"/>
                <w:sz w:val="22"/>
              </w:rPr>
              <w:t xml:space="preserve"> overall</w:t>
            </w:r>
          </w:p>
        </w:tc>
        <w:tc>
          <w:tcPr>
            <w:tcW w:w="1512" w:type="dxa"/>
            <w:tcBorders>
              <w:top w:val="single" w:sz="4" w:space="0" w:color="000000"/>
              <w:left w:val="single" w:sz="4" w:space="0" w:color="000000"/>
              <w:bottom w:val="single" w:sz="4" w:space="0" w:color="000000"/>
              <w:right w:val="single" w:sz="4" w:space="0" w:color="000000"/>
            </w:tcBorders>
            <w:vAlign w:val="center"/>
          </w:tcPr>
          <w:p w14:paraId="2E2EC30D" w14:textId="2C93D04D" w:rsidR="009C01E2" w:rsidRPr="007144B5" w:rsidRDefault="009C01E2" w:rsidP="00C34E03">
            <w:pPr>
              <w:spacing w:after="0" w:line="276" w:lineRule="auto"/>
              <w:ind w:left="106" w:firstLine="0"/>
              <w:jc w:val="center"/>
              <w:rPr>
                <w:rFonts w:ascii="Arial" w:hAnsi="Arial" w:cs="Arial"/>
                <w:color w:val="auto"/>
                <w:sz w:val="22"/>
              </w:rPr>
            </w:pPr>
            <w:r w:rsidRPr="007144B5">
              <w:rPr>
                <w:rFonts w:ascii="Arial" w:hAnsi="Arial" w:cs="Arial"/>
                <w:color w:val="auto"/>
                <w:sz w:val="22"/>
              </w:rPr>
              <w:t>4.1 &amp; 4.2</w:t>
            </w:r>
          </w:p>
        </w:tc>
        <w:tc>
          <w:tcPr>
            <w:tcW w:w="1512" w:type="dxa"/>
            <w:tcBorders>
              <w:top w:val="single" w:sz="4" w:space="0" w:color="000000"/>
              <w:left w:val="single" w:sz="4" w:space="0" w:color="000000"/>
              <w:bottom w:val="single" w:sz="4" w:space="0" w:color="000000"/>
              <w:right w:val="single" w:sz="4" w:space="0" w:color="000000"/>
            </w:tcBorders>
            <w:vAlign w:val="center"/>
          </w:tcPr>
          <w:p w14:paraId="66422AF3" w14:textId="35B49D66" w:rsidR="009C01E2" w:rsidRPr="007144B5" w:rsidRDefault="009C01E2" w:rsidP="00C34E03">
            <w:pPr>
              <w:spacing w:after="0" w:line="276" w:lineRule="auto"/>
              <w:ind w:left="130" w:right="40" w:firstLine="0"/>
              <w:jc w:val="center"/>
              <w:rPr>
                <w:rFonts w:ascii="Arial" w:hAnsi="Arial" w:cs="Arial"/>
                <w:color w:val="auto"/>
                <w:sz w:val="22"/>
              </w:rPr>
            </w:pPr>
            <w:r w:rsidRPr="004B1B63">
              <w:rPr>
                <w:rFonts w:ascii="Arial" w:hAnsi="Arial" w:cs="Arial"/>
                <w:color w:val="auto"/>
                <w:sz w:val="22"/>
              </w:rPr>
              <w:t>5.75%</w:t>
            </w:r>
          </w:p>
        </w:tc>
        <w:tc>
          <w:tcPr>
            <w:tcW w:w="1512" w:type="dxa"/>
            <w:tcBorders>
              <w:top w:val="single" w:sz="4" w:space="0" w:color="000000"/>
              <w:left w:val="single" w:sz="4" w:space="0" w:color="000000"/>
              <w:bottom w:val="single" w:sz="4" w:space="0" w:color="000000"/>
              <w:right w:val="single" w:sz="4" w:space="0" w:color="000000"/>
            </w:tcBorders>
            <w:vAlign w:val="center"/>
          </w:tcPr>
          <w:p w14:paraId="7AC7F18D" w14:textId="1EDA532B"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6.00%</w:t>
            </w:r>
          </w:p>
        </w:tc>
      </w:tr>
      <w:tr w:rsidR="009C01E2" w:rsidRPr="007144B5" w14:paraId="1B9B1487" w14:textId="638AA8BB" w:rsidTr="00C34E03">
        <w:trPr>
          <w:trHeight w:val="624"/>
        </w:trPr>
        <w:tc>
          <w:tcPr>
            <w:tcW w:w="4517" w:type="dxa"/>
            <w:tcBorders>
              <w:top w:val="single" w:sz="4" w:space="0" w:color="000000"/>
              <w:left w:val="single" w:sz="4" w:space="0" w:color="000000"/>
              <w:bottom w:val="single" w:sz="4" w:space="0" w:color="000000"/>
              <w:right w:val="single" w:sz="4" w:space="0" w:color="000000"/>
            </w:tcBorders>
            <w:vAlign w:val="center"/>
          </w:tcPr>
          <w:p w14:paraId="48681784" w14:textId="7CAF8621" w:rsidR="009C01E2" w:rsidRPr="007144B5" w:rsidRDefault="009C01E2" w:rsidP="00C34E03">
            <w:pPr>
              <w:spacing w:after="0" w:line="276" w:lineRule="auto"/>
              <w:ind w:left="112" w:right="177" w:firstLine="0"/>
              <w:rPr>
                <w:rFonts w:ascii="Arial" w:hAnsi="Arial" w:cs="Arial"/>
                <w:color w:val="auto"/>
                <w:sz w:val="22"/>
              </w:rPr>
            </w:pPr>
            <w:r w:rsidRPr="007144B5">
              <w:rPr>
                <w:rFonts w:ascii="Arial" w:hAnsi="Arial" w:cs="Arial"/>
                <w:color w:val="auto"/>
                <w:sz w:val="22"/>
              </w:rPr>
              <w:t xml:space="preserve">Maximum </w:t>
            </w:r>
            <w:r>
              <w:rPr>
                <w:rFonts w:ascii="Arial" w:hAnsi="Arial" w:cs="Arial"/>
                <w:color w:val="auto"/>
                <w:sz w:val="22"/>
              </w:rPr>
              <w:t>i</w:t>
            </w:r>
            <w:r w:rsidRPr="007144B5">
              <w:rPr>
                <w:rFonts w:ascii="Arial" w:hAnsi="Arial" w:cs="Arial"/>
                <w:color w:val="auto"/>
                <w:sz w:val="22"/>
              </w:rPr>
              <w:t xml:space="preserve">nvestment growth </w:t>
            </w:r>
            <w:r>
              <w:rPr>
                <w:rFonts w:ascii="Arial" w:hAnsi="Arial" w:cs="Arial"/>
                <w:color w:val="auto"/>
                <w:sz w:val="22"/>
              </w:rPr>
              <w:t>–</w:t>
            </w:r>
            <w:r w:rsidRPr="007144B5">
              <w:rPr>
                <w:rFonts w:ascii="Arial" w:hAnsi="Arial" w:cs="Arial"/>
                <w:color w:val="auto"/>
                <w:sz w:val="22"/>
              </w:rPr>
              <w:t xml:space="preserve"> equity </w:t>
            </w:r>
            <w:r>
              <w:rPr>
                <w:rFonts w:ascii="Arial" w:hAnsi="Arial" w:cs="Arial"/>
                <w:color w:val="auto"/>
                <w:sz w:val="22"/>
              </w:rPr>
              <w:t>and</w:t>
            </w:r>
            <w:r w:rsidRPr="007144B5">
              <w:rPr>
                <w:rFonts w:ascii="Arial" w:hAnsi="Arial" w:cs="Arial"/>
                <w:color w:val="auto"/>
                <w:sz w:val="22"/>
              </w:rPr>
              <w:t xml:space="preserve"> property </w:t>
            </w:r>
          </w:p>
        </w:tc>
        <w:tc>
          <w:tcPr>
            <w:tcW w:w="1512" w:type="dxa"/>
            <w:tcBorders>
              <w:top w:val="single" w:sz="4" w:space="0" w:color="000000"/>
              <w:left w:val="single" w:sz="4" w:space="0" w:color="000000"/>
              <w:bottom w:val="single" w:sz="4" w:space="0" w:color="000000"/>
              <w:right w:val="single" w:sz="4" w:space="0" w:color="000000"/>
            </w:tcBorders>
            <w:vAlign w:val="center"/>
          </w:tcPr>
          <w:p w14:paraId="5C5AEB68" w14:textId="3DAAE6A0" w:rsidR="009C01E2" w:rsidRPr="007144B5" w:rsidRDefault="009C01E2" w:rsidP="00C34E03">
            <w:pPr>
              <w:spacing w:after="0" w:line="276" w:lineRule="auto"/>
              <w:ind w:left="0" w:right="12" w:firstLine="0"/>
              <w:jc w:val="center"/>
              <w:rPr>
                <w:rFonts w:ascii="Arial" w:hAnsi="Arial" w:cs="Arial"/>
                <w:color w:val="auto"/>
                <w:sz w:val="22"/>
              </w:rPr>
            </w:pPr>
            <w:r w:rsidRPr="007144B5">
              <w:rPr>
                <w:rFonts w:ascii="Arial" w:hAnsi="Arial" w:cs="Arial"/>
                <w:color w:val="auto"/>
                <w:sz w:val="22"/>
              </w:rPr>
              <w:t>4.2(i)</w:t>
            </w:r>
          </w:p>
        </w:tc>
        <w:tc>
          <w:tcPr>
            <w:tcW w:w="1512" w:type="dxa"/>
            <w:tcBorders>
              <w:top w:val="single" w:sz="4" w:space="0" w:color="000000"/>
              <w:left w:val="single" w:sz="4" w:space="0" w:color="000000"/>
              <w:bottom w:val="single" w:sz="4" w:space="0" w:color="000000"/>
              <w:right w:val="single" w:sz="4" w:space="0" w:color="000000"/>
            </w:tcBorders>
            <w:vAlign w:val="center"/>
          </w:tcPr>
          <w:p w14:paraId="288BF0A1" w14:textId="2FF5BD36"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Cs w:val="24"/>
              </w:rPr>
              <w:t>5.75%</w:t>
            </w:r>
          </w:p>
        </w:tc>
        <w:tc>
          <w:tcPr>
            <w:tcW w:w="1512" w:type="dxa"/>
            <w:tcBorders>
              <w:top w:val="single" w:sz="4" w:space="0" w:color="000000"/>
              <w:left w:val="single" w:sz="4" w:space="0" w:color="000000"/>
              <w:bottom w:val="single" w:sz="4" w:space="0" w:color="000000"/>
              <w:right w:val="single" w:sz="4" w:space="0" w:color="000000"/>
            </w:tcBorders>
            <w:vAlign w:val="center"/>
          </w:tcPr>
          <w:p w14:paraId="5977E72C" w14:textId="23DE57CF"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Cs w:val="24"/>
              </w:rPr>
              <w:t>6.65%</w:t>
            </w:r>
          </w:p>
        </w:tc>
      </w:tr>
      <w:tr w:rsidR="009C01E2" w:rsidRPr="007144B5" w14:paraId="2BF4A6DE" w14:textId="67EC69A2" w:rsidTr="00C34E03">
        <w:trPr>
          <w:trHeight w:val="624"/>
        </w:trPr>
        <w:tc>
          <w:tcPr>
            <w:tcW w:w="4517" w:type="dxa"/>
            <w:tcBorders>
              <w:top w:val="single" w:sz="4" w:space="0" w:color="000000"/>
              <w:left w:val="single" w:sz="4" w:space="0" w:color="000000"/>
              <w:bottom w:val="single" w:sz="4" w:space="0" w:color="000000"/>
              <w:right w:val="single" w:sz="4" w:space="0" w:color="000000"/>
            </w:tcBorders>
            <w:vAlign w:val="center"/>
          </w:tcPr>
          <w:p w14:paraId="276F2FD3" w14:textId="74B99459" w:rsidR="009C01E2" w:rsidRPr="007144B5" w:rsidRDefault="009C01E2" w:rsidP="00C34E03">
            <w:pPr>
              <w:spacing w:after="0" w:line="276" w:lineRule="auto"/>
              <w:ind w:left="112" w:firstLine="0"/>
              <w:rPr>
                <w:rFonts w:ascii="Arial" w:hAnsi="Arial" w:cs="Arial"/>
                <w:color w:val="auto"/>
                <w:sz w:val="22"/>
              </w:rPr>
            </w:pPr>
            <w:r w:rsidRPr="007144B5">
              <w:rPr>
                <w:rFonts w:ascii="Arial" w:hAnsi="Arial" w:cs="Arial"/>
                <w:color w:val="auto"/>
                <w:sz w:val="22"/>
              </w:rPr>
              <w:t xml:space="preserve">Maximum </w:t>
            </w:r>
            <w:r>
              <w:rPr>
                <w:rFonts w:ascii="Arial" w:hAnsi="Arial" w:cs="Arial"/>
                <w:color w:val="auto"/>
                <w:sz w:val="22"/>
              </w:rPr>
              <w:t>i</w:t>
            </w:r>
            <w:r w:rsidRPr="007144B5">
              <w:rPr>
                <w:rFonts w:ascii="Arial" w:hAnsi="Arial" w:cs="Arial"/>
                <w:color w:val="auto"/>
                <w:sz w:val="22"/>
              </w:rPr>
              <w:t xml:space="preserve">nvestment growth </w:t>
            </w:r>
            <w:r>
              <w:rPr>
                <w:rFonts w:ascii="Arial" w:hAnsi="Arial" w:cs="Arial"/>
                <w:color w:val="auto"/>
                <w:sz w:val="22"/>
              </w:rPr>
              <w:t>–</w:t>
            </w:r>
            <w:r w:rsidRPr="007144B5">
              <w:rPr>
                <w:rFonts w:ascii="Arial" w:hAnsi="Arial" w:cs="Arial"/>
                <w:color w:val="auto"/>
                <w:sz w:val="22"/>
              </w:rPr>
              <w:t xml:space="preserve"> fixed interest </w:t>
            </w:r>
          </w:p>
        </w:tc>
        <w:tc>
          <w:tcPr>
            <w:tcW w:w="1512" w:type="dxa"/>
            <w:tcBorders>
              <w:top w:val="single" w:sz="4" w:space="0" w:color="000000"/>
              <w:left w:val="single" w:sz="4" w:space="0" w:color="000000"/>
              <w:bottom w:val="single" w:sz="4" w:space="0" w:color="000000"/>
              <w:right w:val="single" w:sz="4" w:space="0" w:color="000000"/>
            </w:tcBorders>
            <w:vAlign w:val="center"/>
          </w:tcPr>
          <w:p w14:paraId="6F8A6EA4" w14:textId="605E5AFE" w:rsidR="009C01E2" w:rsidRPr="007144B5" w:rsidRDefault="009C01E2" w:rsidP="00C34E03">
            <w:pPr>
              <w:spacing w:after="0" w:line="276" w:lineRule="auto"/>
              <w:ind w:left="0" w:right="12" w:firstLine="0"/>
              <w:jc w:val="center"/>
              <w:rPr>
                <w:rFonts w:ascii="Arial" w:hAnsi="Arial" w:cs="Arial"/>
                <w:color w:val="auto"/>
                <w:sz w:val="22"/>
              </w:rPr>
            </w:pPr>
            <w:r w:rsidRPr="007144B5">
              <w:rPr>
                <w:rFonts w:ascii="Arial" w:hAnsi="Arial" w:cs="Arial"/>
                <w:color w:val="auto"/>
                <w:sz w:val="22"/>
              </w:rPr>
              <w:t>4.2(ii)</w:t>
            </w:r>
          </w:p>
        </w:tc>
        <w:tc>
          <w:tcPr>
            <w:tcW w:w="1512" w:type="dxa"/>
            <w:tcBorders>
              <w:top w:val="single" w:sz="4" w:space="0" w:color="000000"/>
              <w:left w:val="single" w:sz="4" w:space="0" w:color="000000"/>
              <w:bottom w:val="single" w:sz="4" w:space="0" w:color="000000"/>
              <w:right w:val="single" w:sz="4" w:space="0" w:color="000000"/>
            </w:tcBorders>
            <w:vAlign w:val="center"/>
          </w:tcPr>
          <w:p w14:paraId="63B4D8F9" w14:textId="1996B8B4"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2.50%</w:t>
            </w:r>
          </w:p>
        </w:tc>
        <w:tc>
          <w:tcPr>
            <w:tcW w:w="1512" w:type="dxa"/>
            <w:tcBorders>
              <w:top w:val="single" w:sz="4" w:space="0" w:color="000000"/>
              <w:left w:val="single" w:sz="4" w:space="0" w:color="000000"/>
              <w:bottom w:val="single" w:sz="4" w:space="0" w:color="000000"/>
              <w:right w:val="single" w:sz="4" w:space="0" w:color="000000"/>
            </w:tcBorders>
            <w:vAlign w:val="center"/>
          </w:tcPr>
          <w:p w14:paraId="739D6635" w14:textId="13BC5939"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3.40%</w:t>
            </w:r>
          </w:p>
        </w:tc>
      </w:tr>
      <w:tr w:rsidR="009C01E2" w:rsidRPr="007144B5" w14:paraId="120BF6A9" w14:textId="7866F0D8" w:rsidTr="00C34E03">
        <w:trPr>
          <w:trHeight w:val="624"/>
        </w:trPr>
        <w:tc>
          <w:tcPr>
            <w:tcW w:w="4517" w:type="dxa"/>
            <w:tcBorders>
              <w:top w:val="single" w:sz="4" w:space="0" w:color="000000"/>
              <w:left w:val="single" w:sz="4" w:space="0" w:color="000000"/>
              <w:bottom w:val="single" w:sz="4" w:space="0" w:color="000000"/>
              <w:right w:val="single" w:sz="4" w:space="0" w:color="000000"/>
            </w:tcBorders>
            <w:vAlign w:val="center"/>
          </w:tcPr>
          <w:p w14:paraId="63B26764" w14:textId="16E7B9B7" w:rsidR="009C01E2" w:rsidRPr="007144B5" w:rsidRDefault="009C01E2" w:rsidP="00C34E03">
            <w:pPr>
              <w:spacing w:after="0" w:line="276" w:lineRule="auto"/>
              <w:ind w:left="112" w:firstLine="0"/>
              <w:rPr>
                <w:rFonts w:ascii="Arial" w:hAnsi="Arial" w:cs="Arial"/>
                <w:color w:val="auto"/>
                <w:sz w:val="22"/>
              </w:rPr>
            </w:pPr>
            <w:r w:rsidRPr="007144B5">
              <w:rPr>
                <w:rFonts w:ascii="Arial" w:hAnsi="Arial" w:cs="Arial"/>
                <w:color w:val="auto"/>
                <w:sz w:val="22"/>
              </w:rPr>
              <w:t xml:space="preserve">Maximum </w:t>
            </w:r>
            <w:r>
              <w:rPr>
                <w:rFonts w:ascii="Arial" w:hAnsi="Arial" w:cs="Arial"/>
                <w:color w:val="auto"/>
                <w:sz w:val="22"/>
              </w:rPr>
              <w:t>i</w:t>
            </w:r>
            <w:r w:rsidRPr="007144B5">
              <w:rPr>
                <w:rFonts w:ascii="Arial" w:hAnsi="Arial" w:cs="Arial"/>
                <w:color w:val="auto"/>
                <w:sz w:val="22"/>
              </w:rPr>
              <w:t xml:space="preserve">nvestment growth </w:t>
            </w:r>
            <w:r>
              <w:rPr>
                <w:rFonts w:ascii="Arial" w:hAnsi="Arial" w:cs="Arial"/>
                <w:color w:val="auto"/>
                <w:sz w:val="22"/>
              </w:rPr>
              <w:t>–</w:t>
            </w:r>
            <w:r w:rsidRPr="007144B5">
              <w:rPr>
                <w:rFonts w:ascii="Arial" w:hAnsi="Arial" w:cs="Arial"/>
                <w:color w:val="auto"/>
                <w:sz w:val="22"/>
              </w:rPr>
              <w:t xml:space="preserve"> cash </w:t>
            </w:r>
          </w:p>
        </w:tc>
        <w:tc>
          <w:tcPr>
            <w:tcW w:w="1512" w:type="dxa"/>
            <w:tcBorders>
              <w:top w:val="single" w:sz="4" w:space="0" w:color="000000"/>
              <w:left w:val="single" w:sz="4" w:space="0" w:color="000000"/>
              <w:bottom w:val="single" w:sz="4" w:space="0" w:color="000000"/>
              <w:right w:val="single" w:sz="4" w:space="0" w:color="000000"/>
            </w:tcBorders>
            <w:vAlign w:val="center"/>
          </w:tcPr>
          <w:p w14:paraId="4E3551E0" w14:textId="1ED5BE6F" w:rsidR="009C01E2" w:rsidRPr="007144B5" w:rsidRDefault="009C01E2" w:rsidP="00C34E03">
            <w:pPr>
              <w:spacing w:after="0" w:line="276" w:lineRule="auto"/>
              <w:ind w:left="0" w:right="12" w:firstLine="0"/>
              <w:jc w:val="center"/>
              <w:rPr>
                <w:rFonts w:ascii="Arial" w:hAnsi="Arial" w:cs="Arial"/>
                <w:color w:val="auto"/>
                <w:sz w:val="22"/>
              </w:rPr>
            </w:pPr>
            <w:r w:rsidRPr="007144B5">
              <w:rPr>
                <w:rFonts w:ascii="Arial" w:hAnsi="Arial" w:cs="Arial"/>
                <w:color w:val="auto"/>
                <w:sz w:val="22"/>
              </w:rPr>
              <w:t>4.2(iii)</w:t>
            </w:r>
          </w:p>
        </w:tc>
        <w:tc>
          <w:tcPr>
            <w:tcW w:w="1512" w:type="dxa"/>
            <w:tcBorders>
              <w:top w:val="single" w:sz="4" w:space="0" w:color="000000"/>
              <w:left w:val="single" w:sz="4" w:space="0" w:color="000000"/>
              <w:bottom w:val="single" w:sz="4" w:space="0" w:color="000000"/>
              <w:right w:val="single" w:sz="4" w:space="0" w:color="000000"/>
            </w:tcBorders>
            <w:vAlign w:val="center"/>
          </w:tcPr>
          <w:p w14:paraId="142CB442" w14:textId="06811086"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0.25%</w:t>
            </w:r>
          </w:p>
        </w:tc>
        <w:tc>
          <w:tcPr>
            <w:tcW w:w="1512" w:type="dxa"/>
            <w:tcBorders>
              <w:top w:val="single" w:sz="4" w:space="0" w:color="000000"/>
              <w:left w:val="single" w:sz="4" w:space="0" w:color="000000"/>
              <w:bottom w:val="single" w:sz="4" w:space="0" w:color="000000"/>
              <w:right w:val="single" w:sz="4" w:space="0" w:color="000000"/>
            </w:tcBorders>
            <w:vAlign w:val="center"/>
          </w:tcPr>
          <w:p w14:paraId="20327666" w14:textId="68E38C0E"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2.65%</w:t>
            </w:r>
          </w:p>
        </w:tc>
      </w:tr>
      <w:tr w:rsidR="009C01E2" w:rsidRPr="007144B5" w14:paraId="10AA9F47" w14:textId="4AF4D822" w:rsidTr="00C34E03">
        <w:trPr>
          <w:trHeight w:val="624"/>
        </w:trPr>
        <w:tc>
          <w:tcPr>
            <w:tcW w:w="4517" w:type="dxa"/>
            <w:tcBorders>
              <w:top w:val="single" w:sz="4" w:space="0" w:color="000000"/>
              <w:left w:val="single" w:sz="4" w:space="0" w:color="000000"/>
              <w:bottom w:val="single" w:sz="4" w:space="0" w:color="000000"/>
              <w:right w:val="single" w:sz="4" w:space="0" w:color="000000"/>
            </w:tcBorders>
            <w:vAlign w:val="center"/>
          </w:tcPr>
          <w:p w14:paraId="70026B16" w14:textId="2ED55EC0" w:rsidR="009C01E2" w:rsidRPr="007144B5" w:rsidRDefault="009C01E2" w:rsidP="00C34E03">
            <w:pPr>
              <w:spacing w:after="0" w:line="276" w:lineRule="auto"/>
              <w:ind w:left="112" w:firstLine="0"/>
              <w:rPr>
                <w:rFonts w:ascii="Arial" w:hAnsi="Arial" w:cs="Arial"/>
                <w:color w:val="auto"/>
                <w:sz w:val="22"/>
              </w:rPr>
            </w:pPr>
            <w:r w:rsidRPr="007144B5">
              <w:rPr>
                <w:rFonts w:ascii="Arial" w:hAnsi="Arial" w:cs="Arial"/>
                <w:color w:val="auto"/>
                <w:sz w:val="22"/>
              </w:rPr>
              <w:t xml:space="preserve">Maximum </w:t>
            </w:r>
            <w:r>
              <w:rPr>
                <w:rFonts w:ascii="Arial" w:hAnsi="Arial" w:cs="Arial"/>
                <w:color w:val="auto"/>
                <w:sz w:val="22"/>
              </w:rPr>
              <w:t>i</w:t>
            </w:r>
            <w:r w:rsidRPr="007144B5">
              <w:rPr>
                <w:rFonts w:ascii="Arial" w:hAnsi="Arial" w:cs="Arial"/>
                <w:color w:val="auto"/>
                <w:sz w:val="22"/>
              </w:rPr>
              <w:t xml:space="preserve">nvestment growth </w:t>
            </w:r>
            <w:r>
              <w:rPr>
                <w:rFonts w:ascii="Arial" w:hAnsi="Arial" w:cs="Arial"/>
                <w:color w:val="auto"/>
                <w:sz w:val="22"/>
              </w:rPr>
              <w:t>–</w:t>
            </w:r>
            <w:r w:rsidRPr="007144B5">
              <w:rPr>
                <w:rFonts w:ascii="Arial" w:hAnsi="Arial" w:cs="Arial"/>
                <w:color w:val="auto"/>
                <w:sz w:val="22"/>
              </w:rPr>
              <w:t xml:space="preserve"> other assets with insufficient information </w:t>
            </w:r>
          </w:p>
        </w:tc>
        <w:tc>
          <w:tcPr>
            <w:tcW w:w="1512" w:type="dxa"/>
            <w:tcBorders>
              <w:top w:val="single" w:sz="4" w:space="0" w:color="000000"/>
              <w:left w:val="single" w:sz="4" w:space="0" w:color="000000"/>
              <w:bottom w:val="single" w:sz="4" w:space="0" w:color="000000"/>
              <w:right w:val="single" w:sz="4" w:space="0" w:color="000000"/>
            </w:tcBorders>
            <w:vAlign w:val="center"/>
          </w:tcPr>
          <w:p w14:paraId="27D325F4" w14:textId="08F75AFB" w:rsidR="009C01E2" w:rsidRPr="007144B5" w:rsidRDefault="009C01E2" w:rsidP="00C34E03">
            <w:pPr>
              <w:spacing w:after="0" w:line="276" w:lineRule="auto"/>
              <w:ind w:left="0" w:right="13" w:firstLine="0"/>
              <w:jc w:val="center"/>
              <w:rPr>
                <w:rFonts w:ascii="Arial" w:hAnsi="Arial" w:cs="Arial"/>
                <w:color w:val="auto"/>
                <w:sz w:val="22"/>
              </w:rPr>
            </w:pPr>
            <w:r w:rsidRPr="007144B5">
              <w:rPr>
                <w:rFonts w:ascii="Arial" w:hAnsi="Arial" w:cs="Arial"/>
                <w:color w:val="auto"/>
                <w:sz w:val="22"/>
              </w:rPr>
              <w:t>4.3</w:t>
            </w:r>
          </w:p>
        </w:tc>
        <w:tc>
          <w:tcPr>
            <w:tcW w:w="1512" w:type="dxa"/>
            <w:tcBorders>
              <w:top w:val="single" w:sz="4" w:space="0" w:color="000000"/>
              <w:left w:val="single" w:sz="4" w:space="0" w:color="000000"/>
              <w:bottom w:val="single" w:sz="4" w:space="0" w:color="000000"/>
              <w:right w:val="single" w:sz="4" w:space="0" w:color="000000"/>
            </w:tcBorders>
            <w:vAlign w:val="center"/>
          </w:tcPr>
          <w:p w14:paraId="0E954CA9" w14:textId="1A1FC367"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0.25%</w:t>
            </w:r>
          </w:p>
        </w:tc>
        <w:tc>
          <w:tcPr>
            <w:tcW w:w="1512" w:type="dxa"/>
            <w:tcBorders>
              <w:top w:val="single" w:sz="4" w:space="0" w:color="000000"/>
              <w:left w:val="single" w:sz="4" w:space="0" w:color="000000"/>
              <w:bottom w:val="single" w:sz="4" w:space="0" w:color="000000"/>
              <w:right w:val="single" w:sz="4" w:space="0" w:color="000000"/>
            </w:tcBorders>
            <w:vAlign w:val="center"/>
          </w:tcPr>
          <w:p w14:paraId="2E146938" w14:textId="22C431F8"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2.65%</w:t>
            </w:r>
          </w:p>
        </w:tc>
      </w:tr>
      <w:tr w:rsidR="009C01E2" w:rsidRPr="007144B5" w14:paraId="489C5FD6" w14:textId="60154D27" w:rsidTr="00C34E03">
        <w:trPr>
          <w:trHeight w:val="624"/>
        </w:trPr>
        <w:tc>
          <w:tcPr>
            <w:tcW w:w="4517" w:type="dxa"/>
            <w:tcBorders>
              <w:top w:val="single" w:sz="4" w:space="0" w:color="000000"/>
              <w:left w:val="single" w:sz="4" w:space="0" w:color="000000"/>
              <w:bottom w:val="single" w:sz="4" w:space="0" w:color="000000"/>
              <w:right w:val="single" w:sz="4" w:space="0" w:color="000000"/>
            </w:tcBorders>
            <w:vAlign w:val="center"/>
          </w:tcPr>
          <w:p w14:paraId="7CAD1CE3" w14:textId="77777777" w:rsidR="009C01E2" w:rsidRPr="007144B5" w:rsidRDefault="009C01E2" w:rsidP="00C34E03">
            <w:pPr>
              <w:spacing w:after="0" w:line="276" w:lineRule="auto"/>
              <w:ind w:left="112" w:firstLine="0"/>
              <w:rPr>
                <w:rFonts w:ascii="Arial" w:hAnsi="Arial" w:cs="Arial"/>
                <w:color w:val="auto"/>
                <w:sz w:val="22"/>
              </w:rPr>
            </w:pPr>
            <w:r w:rsidRPr="007144B5">
              <w:rPr>
                <w:rFonts w:ascii="Arial" w:hAnsi="Arial" w:cs="Arial"/>
                <w:color w:val="auto"/>
                <w:sz w:val="22"/>
              </w:rPr>
              <w:t xml:space="preserve">Salary inflation rate or benefit deflation rate </w:t>
            </w:r>
          </w:p>
        </w:tc>
        <w:tc>
          <w:tcPr>
            <w:tcW w:w="1512" w:type="dxa"/>
            <w:tcBorders>
              <w:top w:val="single" w:sz="4" w:space="0" w:color="000000"/>
              <w:left w:val="single" w:sz="4" w:space="0" w:color="000000"/>
              <w:bottom w:val="single" w:sz="4" w:space="0" w:color="000000"/>
              <w:right w:val="single" w:sz="4" w:space="0" w:color="000000"/>
            </w:tcBorders>
            <w:vAlign w:val="center"/>
          </w:tcPr>
          <w:p w14:paraId="183A3637" w14:textId="1469FA92" w:rsidR="009C01E2" w:rsidRPr="007144B5" w:rsidRDefault="009C01E2" w:rsidP="00C34E03">
            <w:pPr>
              <w:spacing w:after="0" w:line="276" w:lineRule="auto"/>
              <w:ind w:left="0" w:right="13" w:firstLine="0"/>
              <w:jc w:val="center"/>
              <w:rPr>
                <w:rFonts w:ascii="Arial" w:hAnsi="Arial" w:cs="Arial"/>
                <w:color w:val="auto"/>
                <w:sz w:val="22"/>
              </w:rPr>
            </w:pPr>
            <w:r w:rsidRPr="007144B5">
              <w:rPr>
                <w:rFonts w:ascii="Arial" w:hAnsi="Arial" w:cs="Arial"/>
                <w:color w:val="auto"/>
                <w:sz w:val="22"/>
              </w:rPr>
              <w:t>6.1</w:t>
            </w:r>
          </w:p>
        </w:tc>
        <w:tc>
          <w:tcPr>
            <w:tcW w:w="1512" w:type="dxa"/>
            <w:tcBorders>
              <w:top w:val="single" w:sz="4" w:space="0" w:color="000000"/>
              <w:left w:val="single" w:sz="4" w:space="0" w:color="000000"/>
              <w:bottom w:val="single" w:sz="4" w:space="0" w:color="000000"/>
              <w:right w:val="single" w:sz="4" w:space="0" w:color="000000"/>
            </w:tcBorders>
            <w:vAlign w:val="center"/>
          </w:tcPr>
          <w:p w14:paraId="58657DEA" w14:textId="24DB553D"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3.00%</w:t>
            </w:r>
          </w:p>
        </w:tc>
        <w:tc>
          <w:tcPr>
            <w:tcW w:w="1512" w:type="dxa"/>
            <w:tcBorders>
              <w:top w:val="single" w:sz="4" w:space="0" w:color="000000"/>
              <w:left w:val="single" w:sz="4" w:space="0" w:color="000000"/>
              <w:bottom w:val="single" w:sz="4" w:space="0" w:color="000000"/>
              <w:right w:val="single" w:sz="4" w:space="0" w:color="000000"/>
            </w:tcBorders>
            <w:vAlign w:val="center"/>
          </w:tcPr>
          <w:p w14:paraId="2C3DB9C5" w14:textId="6E7897AE"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3.00%</w:t>
            </w:r>
          </w:p>
        </w:tc>
      </w:tr>
      <w:tr w:rsidR="009C01E2" w:rsidRPr="007144B5" w14:paraId="3A10C1EE" w14:textId="570C83EC" w:rsidTr="00C34E03">
        <w:trPr>
          <w:trHeight w:val="624"/>
        </w:trPr>
        <w:tc>
          <w:tcPr>
            <w:tcW w:w="4517" w:type="dxa"/>
            <w:tcBorders>
              <w:top w:val="single" w:sz="4" w:space="0" w:color="000000"/>
              <w:left w:val="single" w:sz="4" w:space="0" w:color="000000"/>
              <w:bottom w:val="single" w:sz="4" w:space="0" w:color="000000"/>
              <w:right w:val="single" w:sz="4" w:space="0" w:color="000000"/>
            </w:tcBorders>
            <w:vAlign w:val="center"/>
          </w:tcPr>
          <w:p w14:paraId="321568D0" w14:textId="77777777" w:rsidR="009C01E2" w:rsidRPr="007144B5" w:rsidRDefault="009C01E2" w:rsidP="00C34E03">
            <w:pPr>
              <w:spacing w:after="0" w:line="276" w:lineRule="auto"/>
              <w:ind w:left="112" w:firstLine="0"/>
              <w:rPr>
                <w:rFonts w:ascii="Arial" w:hAnsi="Arial" w:cs="Arial"/>
                <w:color w:val="auto"/>
                <w:sz w:val="22"/>
              </w:rPr>
            </w:pPr>
            <w:r w:rsidRPr="007144B5">
              <w:rPr>
                <w:rFonts w:ascii="Arial" w:hAnsi="Arial" w:cs="Arial"/>
                <w:color w:val="auto"/>
                <w:sz w:val="22"/>
              </w:rPr>
              <w:t xml:space="preserve">Contribution increases linked to general earnings </w:t>
            </w:r>
          </w:p>
        </w:tc>
        <w:tc>
          <w:tcPr>
            <w:tcW w:w="1512" w:type="dxa"/>
            <w:tcBorders>
              <w:top w:val="single" w:sz="4" w:space="0" w:color="000000"/>
              <w:left w:val="single" w:sz="4" w:space="0" w:color="000000"/>
              <w:bottom w:val="single" w:sz="4" w:space="0" w:color="000000"/>
              <w:right w:val="single" w:sz="4" w:space="0" w:color="000000"/>
            </w:tcBorders>
            <w:vAlign w:val="center"/>
          </w:tcPr>
          <w:p w14:paraId="7A62C5C1" w14:textId="40BE6D09" w:rsidR="009C01E2" w:rsidRPr="007144B5" w:rsidRDefault="009C01E2" w:rsidP="00C34E03">
            <w:pPr>
              <w:spacing w:after="0" w:line="276" w:lineRule="auto"/>
              <w:ind w:left="0" w:right="13" w:firstLine="0"/>
              <w:jc w:val="center"/>
              <w:rPr>
                <w:rFonts w:ascii="Arial" w:hAnsi="Arial" w:cs="Arial"/>
                <w:color w:val="auto"/>
                <w:sz w:val="22"/>
              </w:rPr>
            </w:pPr>
            <w:r w:rsidRPr="007144B5">
              <w:rPr>
                <w:rFonts w:ascii="Arial" w:hAnsi="Arial" w:cs="Arial"/>
                <w:color w:val="auto"/>
                <w:sz w:val="22"/>
              </w:rPr>
              <w:t>7.2</w:t>
            </w:r>
          </w:p>
        </w:tc>
        <w:tc>
          <w:tcPr>
            <w:tcW w:w="1512" w:type="dxa"/>
            <w:tcBorders>
              <w:top w:val="single" w:sz="4" w:space="0" w:color="000000"/>
              <w:left w:val="single" w:sz="4" w:space="0" w:color="000000"/>
              <w:bottom w:val="single" w:sz="4" w:space="0" w:color="000000"/>
              <w:right w:val="single" w:sz="4" w:space="0" w:color="000000"/>
            </w:tcBorders>
            <w:vAlign w:val="center"/>
          </w:tcPr>
          <w:p w14:paraId="31D7ACE6" w14:textId="21FB012D"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3.00%</w:t>
            </w:r>
          </w:p>
        </w:tc>
        <w:tc>
          <w:tcPr>
            <w:tcW w:w="1512" w:type="dxa"/>
            <w:tcBorders>
              <w:top w:val="single" w:sz="4" w:space="0" w:color="000000"/>
              <w:left w:val="single" w:sz="4" w:space="0" w:color="000000"/>
              <w:bottom w:val="single" w:sz="4" w:space="0" w:color="000000"/>
              <w:right w:val="single" w:sz="4" w:space="0" w:color="000000"/>
            </w:tcBorders>
            <w:vAlign w:val="center"/>
          </w:tcPr>
          <w:p w14:paraId="162DC7E8" w14:textId="27170125"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3.00%</w:t>
            </w:r>
          </w:p>
        </w:tc>
      </w:tr>
      <w:tr w:rsidR="009C01E2" w:rsidRPr="007144B5" w14:paraId="70484AD2" w14:textId="755ADA95" w:rsidTr="00C34E03">
        <w:trPr>
          <w:trHeight w:val="624"/>
        </w:trPr>
        <w:tc>
          <w:tcPr>
            <w:tcW w:w="4517" w:type="dxa"/>
            <w:tcBorders>
              <w:top w:val="single" w:sz="4" w:space="0" w:color="000000"/>
              <w:left w:val="single" w:sz="4" w:space="0" w:color="000000"/>
              <w:bottom w:val="single" w:sz="4" w:space="0" w:color="000000"/>
              <w:right w:val="single" w:sz="4" w:space="0" w:color="000000"/>
            </w:tcBorders>
            <w:vAlign w:val="center"/>
          </w:tcPr>
          <w:p w14:paraId="2FECA127" w14:textId="77777777" w:rsidR="009C01E2" w:rsidRPr="007144B5" w:rsidRDefault="009C01E2" w:rsidP="00C34E03">
            <w:pPr>
              <w:spacing w:after="0" w:line="276" w:lineRule="auto"/>
              <w:ind w:left="112" w:firstLine="0"/>
              <w:rPr>
                <w:rFonts w:ascii="Arial" w:hAnsi="Arial" w:cs="Arial"/>
                <w:color w:val="auto"/>
                <w:sz w:val="22"/>
              </w:rPr>
            </w:pPr>
            <w:r w:rsidRPr="007144B5">
              <w:rPr>
                <w:rFonts w:ascii="Arial" w:hAnsi="Arial" w:cs="Arial"/>
                <w:color w:val="auto"/>
                <w:sz w:val="22"/>
              </w:rPr>
              <w:t xml:space="preserve">Contribution increases linked to consumer prices </w:t>
            </w:r>
          </w:p>
        </w:tc>
        <w:tc>
          <w:tcPr>
            <w:tcW w:w="1512" w:type="dxa"/>
            <w:tcBorders>
              <w:top w:val="single" w:sz="4" w:space="0" w:color="000000"/>
              <w:left w:val="single" w:sz="4" w:space="0" w:color="000000"/>
              <w:bottom w:val="single" w:sz="4" w:space="0" w:color="000000"/>
              <w:right w:val="single" w:sz="4" w:space="0" w:color="000000"/>
            </w:tcBorders>
            <w:vAlign w:val="center"/>
          </w:tcPr>
          <w:p w14:paraId="23EF18E8" w14:textId="6469BC5F" w:rsidR="009C01E2" w:rsidRPr="007144B5" w:rsidRDefault="009C01E2" w:rsidP="00C34E03">
            <w:pPr>
              <w:spacing w:after="0" w:line="276" w:lineRule="auto"/>
              <w:ind w:left="0" w:right="13" w:firstLine="0"/>
              <w:jc w:val="center"/>
              <w:rPr>
                <w:rFonts w:ascii="Arial" w:hAnsi="Arial" w:cs="Arial"/>
                <w:color w:val="auto"/>
                <w:sz w:val="22"/>
              </w:rPr>
            </w:pPr>
            <w:r w:rsidRPr="007144B5">
              <w:rPr>
                <w:rFonts w:ascii="Arial" w:hAnsi="Arial" w:cs="Arial"/>
                <w:color w:val="auto"/>
                <w:sz w:val="22"/>
              </w:rPr>
              <w:t>7.2</w:t>
            </w:r>
          </w:p>
        </w:tc>
        <w:tc>
          <w:tcPr>
            <w:tcW w:w="1512" w:type="dxa"/>
            <w:tcBorders>
              <w:top w:val="single" w:sz="4" w:space="0" w:color="000000"/>
              <w:left w:val="single" w:sz="4" w:space="0" w:color="000000"/>
              <w:bottom w:val="single" w:sz="4" w:space="0" w:color="000000"/>
              <w:right w:val="single" w:sz="4" w:space="0" w:color="000000"/>
            </w:tcBorders>
            <w:vAlign w:val="center"/>
          </w:tcPr>
          <w:p w14:paraId="2BAEE9B3" w14:textId="730D447C"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2.00%</w:t>
            </w:r>
          </w:p>
        </w:tc>
        <w:tc>
          <w:tcPr>
            <w:tcW w:w="1512" w:type="dxa"/>
            <w:tcBorders>
              <w:top w:val="single" w:sz="4" w:space="0" w:color="000000"/>
              <w:left w:val="single" w:sz="4" w:space="0" w:color="000000"/>
              <w:bottom w:val="single" w:sz="4" w:space="0" w:color="000000"/>
              <w:right w:val="single" w:sz="4" w:space="0" w:color="000000"/>
            </w:tcBorders>
            <w:vAlign w:val="center"/>
          </w:tcPr>
          <w:p w14:paraId="39807506" w14:textId="2AF2CF69"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2.00%</w:t>
            </w:r>
          </w:p>
        </w:tc>
      </w:tr>
      <w:tr w:rsidR="009C01E2" w:rsidRPr="007144B5" w14:paraId="59C63652" w14:textId="10163A6E" w:rsidTr="00C34E03">
        <w:trPr>
          <w:trHeight w:val="624"/>
        </w:trPr>
        <w:tc>
          <w:tcPr>
            <w:tcW w:w="4517" w:type="dxa"/>
            <w:tcBorders>
              <w:top w:val="single" w:sz="4" w:space="0" w:color="000000"/>
              <w:left w:val="single" w:sz="4" w:space="0" w:color="000000"/>
              <w:bottom w:val="single" w:sz="4" w:space="0" w:color="000000"/>
              <w:right w:val="single" w:sz="4" w:space="0" w:color="000000"/>
            </w:tcBorders>
            <w:vAlign w:val="center"/>
          </w:tcPr>
          <w:p w14:paraId="206B4F7B" w14:textId="77777777" w:rsidR="009C01E2" w:rsidRPr="007144B5" w:rsidRDefault="009C01E2" w:rsidP="00C34E03">
            <w:pPr>
              <w:spacing w:after="0" w:line="276" w:lineRule="auto"/>
              <w:ind w:left="112" w:firstLine="0"/>
              <w:rPr>
                <w:rFonts w:ascii="Arial" w:hAnsi="Arial" w:cs="Arial"/>
                <w:color w:val="auto"/>
                <w:sz w:val="22"/>
              </w:rPr>
            </w:pPr>
            <w:r w:rsidRPr="007144B5">
              <w:rPr>
                <w:rFonts w:ascii="Arial" w:hAnsi="Arial" w:cs="Arial"/>
                <w:color w:val="auto"/>
                <w:sz w:val="22"/>
              </w:rPr>
              <w:t xml:space="preserve">Maximum interest rate for annuities </w:t>
            </w:r>
          </w:p>
        </w:tc>
        <w:tc>
          <w:tcPr>
            <w:tcW w:w="1512" w:type="dxa"/>
            <w:tcBorders>
              <w:top w:val="single" w:sz="4" w:space="0" w:color="000000"/>
              <w:left w:val="single" w:sz="4" w:space="0" w:color="000000"/>
              <w:bottom w:val="single" w:sz="4" w:space="0" w:color="000000"/>
              <w:right w:val="single" w:sz="4" w:space="0" w:color="000000"/>
            </w:tcBorders>
            <w:vAlign w:val="center"/>
          </w:tcPr>
          <w:p w14:paraId="4FD4D875" w14:textId="476C7B01" w:rsidR="009C01E2" w:rsidRPr="007144B5" w:rsidRDefault="009C01E2" w:rsidP="00C34E03">
            <w:pPr>
              <w:spacing w:after="0" w:line="276" w:lineRule="auto"/>
              <w:ind w:left="0" w:right="13" w:firstLine="0"/>
              <w:jc w:val="center"/>
              <w:rPr>
                <w:rFonts w:ascii="Arial" w:hAnsi="Arial" w:cs="Arial"/>
                <w:color w:val="auto"/>
                <w:sz w:val="22"/>
              </w:rPr>
            </w:pPr>
            <w:r w:rsidRPr="007144B5">
              <w:rPr>
                <w:rFonts w:ascii="Arial" w:hAnsi="Arial" w:cs="Arial"/>
                <w:color w:val="auto"/>
                <w:sz w:val="22"/>
              </w:rPr>
              <w:t>8.1</w:t>
            </w:r>
          </w:p>
        </w:tc>
        <w:tc>
          <w:tcPr>
            <w:tcW w:w="1512" w:type="dxa"/>
            <w:tcBorders>
              <w:top w:val="single" w:sz="4" w:space="0" w:color="000000"/>
              <w:left w:val="single" w:sz="4" w:space="0" w:color="000000"/>
              <w:bottom w:val="single" w:sz="4" w:space="0" w:color="000000"/>
              <w:right w:val="single" w:sz="4" w:space="0" w:color="000000"/>
            </w:tcBorders>
            <w:vAlign w:val="center"/>
          </w:tcPr>
          <w:p w14:paraId="70006240" w14:textId="283A7667"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2.00%</w:t>
            </w:r>
          </w:p>
        </w:tc>
        <w:tc>
          <w:tcPr>
            <w:tcW w:w="1512" w:type="dxa"/>
            <w:tcBorders>
              <w:top w:val="single" w:sz="4" w:space="0" w:color="000000"/>
              <w:left w:val="single" w:sz="4" w:space="0" w:color="000000"/>
              <w:bottom w:val="single" w:sz="4" w:space="0" w:color="000000"/>
              <w:right w:val="single" w:sz="4" w:space="0" w:color="000000"/>
            </w:tcBorders>
            <w:vAlign w:val="center"/>
          </w:tcPr>
          <w:p w14:paraId="3FCC39DF" w14:textId="3565F169"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2.90%</w:t>
            </w:r>
          </w:p>
        </w:tc>
      </w:tr>
      <w:tr w:rsidR="009C01E2" w:rsidRPr="007144B5" w14:paraId="78F7EA50" w14:textId="18D4E46D" w:rsidTr="00C34E03">
        <w:trPr>
          <w:trHeight w:val="624"/>
        </w:trPr>
        <w:tc>
          <w:tcPr>
            <w:tcW w:w="4517" w:type="dxa"/>
            <w:tcBorders>
              <w:top w:val="single" w:sz="4" w:space="0" w:color="000000"/>
              <w:left w:val="single" w:sz="4" w:space="0" w:color="000000"/>
              <w:bottom w:val="single" w:sz="4" w:space="0" w:color="000000"/>
              <w:right w:val="single" w:sz="4" w:space="0" w:color="000000"/>
            </w:tcBorders>
            <w:vAlign w:val="center"/>
          </w:tcPr>
          <w:p w14:paraId="241ED869" w14:textId="77777777" w:rsidR="009C01E2" w:rsidRPr="007144B5" w:rsidRDefault="009C01E2" w:rsidP="00C34E03">
            <w:pPr>
              <w:spacing w:after="0" w:line="276" w:lineRule="auto"/>
              <w:ind w:left="112" w:firstLine="0"/>
              <w:rPr>
                <w:rFonts w:ascii="Arial" w:hAnsi="Arial" w:cs="Arial"/>
                <w:color w:val="auto"/>
                <w:sz w:val="22"/>
              </w:rPr>
            </w:pPr>
            <w:r w:rsidRPr="007144B5">
              <w:rPr>
                <w:rFonts w:ascii="Arial" w:hAnsi="Arial" w:cs="Arial"/>
                <w:color w:val="auto"/>
                <w:sz w:val="22"/>
              </w:rPr>
              <w:t xml:space="preserve">Rate of escalation for annuities </w:t>
            </w:r>
          </w:p>
        </w:tc>
        <w:tc>
          <w:tcPr>
            <w:tcW w:w="1512" w:type="dxa"/>
            <w:tcBorders>
              <w:top w:val="single" w:sz="4" w:space="0" w:color="000000"/>
              <w:left w:val="single" w:sz="4" w:space="0" w:color="000000"/>
              <w:bottom w:val="single" w:sz="4" w:space="0" w:color="000000"/>
              <w:right w:val="single" w:sz="4" w:space="0" w:color="000000"/>
            </w:tcBorders>
            <w:vAlign w:val="center"/>
          </w:tcPr>
          <w:p w14:paraId="4E60E7D8" w14:textId="27B79DD2" w:rsidR="009C01E2" w:rsidRPr="007144B5" w:rsidRDefault="009C01E2" w:rsidP="00C34E03">
            <w:pPr>
              <w:spacing w:after="0" w:line="276" w:lineRule="auto"/>
              <w:ind w:left="0" w:right="13" w:firstLine="0"/>
              <w:jc w:val="center"/>
              <w:rPr>
                <w:rFonts w:ascii="Arial" w:hAnsi="Arial" w:cs="Arial"/>
                <w:color w:val="auto"/>
                <w:sz w:val="22"/>
              </w:rPr>
            </w:pPr>
            <w:r w:rsidRPr="007144B5">
              <w:rPr>
                <w:rFonts w:ascii="Arial" w:hAnsi="Arial" w:cs="Arial"/>
                <w:color w:val="auto"/>
                <w:sz w:val="22"/>
              </w:rPr>
              <w:t>8.4</w:t>
            </w:r>
          </w:p>
        </w:tc>
        <w:tc>
          <w:tcPr>
            <w:tcW w:w="1512" w:type="dxa"/>
            <w:tcBorders>
              <w:top w:val="single" w:sz="4" w:space="0" w:color="000000"/>
              <w:left w:val="single" w:sz="4" w:space="0" w:color="000000"/>
              <w:bottom w:val="single" w:sz="4" w:space="0" w:color="000000"/>
              <w:right w:val="single" w:sz="4" w:space="0" w:color="000000"/>
            </w:tcBorders>
            <w:vAlign w:val="center"/>
          </w:tcPr>
          <w:p w14:paraId="205F0963" w14:textId="2EA053A2"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2.00%</w:t>
            </w:r>
          </w:p>
        </w:tc>
        <w:tc>
          <w:tcPr>
            <w:tcW w:w="1512" w:type="dxa"/>
            <w:tcBorders>
              <w:top w:val="single" w:sz="4" w:space="0" w:color="000000"/>
              <w:left w:val="single" w:sz="4" w:space="0" w:color="000000"/>
              <w:bottom w:val="single" w:sz="4" w:space="0" w:color="000000"/>
              <w:right w:val="single" w:sz="4" w:space="0" w:color="000000"/>
            </w:tcBorders>
            <w:vAlign w:val="center"/>
          </w:tcPr>
          <w:p w14:paraId="3A4BD6DB" w14:textId="6C99C517" w:rsidR="009C01E2" w:rsidRPr="007144B5" w:rsidRDefault="009C01E2" w:rsidP="00C34E03">
            <w:pPr>
              <w:spacing w:after="0" w:line="276" w:lineRule="auto"/>
              <w:ind w:left="130" w:right="40" w:firstLine="0"/>
              <w:jc w:val="center"/>
              <w:rPr>
                <w:rFonts w:ascii="Arial" w:hAnsi="Arial" w:cs="Arial"/>
                <w:color w:val="auto"/>
                <w:sz w:val="22"/>
              </w:rPr>
            </w:pPr>
            <w:r>
              <w:rPr>
                <w:rFonts w:ascii="Arial" w:hAnsi="Arial" w:cs="Arial"/>
                <w:color w:val="auto"/>
                <w:sz w:val="22"/>
              </w:rPr>
              <w:t>2.00%</w:t>
            </w:r>
          </w:p>
        </w:tc>
      </w:tr>
    </w:tbl>
    <w:bookmarkEnd w:id="12"/>
    <w:p w14:paraId="59E4E69D" w14:textId="77777777" w:rsidR="003915E3" w:rsidRPr="003137EA" w:rsidRDefault="003915E3" w:rsidP="00C34E03">
      <w:pPr>
        <w:spacing w:after="0" w:line="276" w:lineRule="auto"/>
        <w:ind w:left="0" w:firstLine="0"/>
        <w:rPr>
          <w:rFonts w:ascii="Arial" w:hAnsi="Arial" w:cs="Arial"/>
          <w:color w:val="auto"/>
          <w:szCs w:val="24"/>
        </w:rPr>
      </w:pPr>
      <w:r w:rsidRPr="003137EA">
        <w:rPr>
          <w:rFonts w:ascii="Arial" w:eastAsia="Calibri" w:hAnsi="Arial" w:cs="Arial"/>
          <w:color w:val="auto"/>
          <w:szCs w:val="24"/>
        </w:rPr>
        <w:t xml:space="preserve"> </w:t>
      </w:r>
      <w:r w:rsidRPr="003137EA">
        <w:rPr>
          <w:rFonts w:ascii="Arial" w:hAnsi="Arial" w:cs="Arial"/>
          <w:color w:val="auto"/>
          <w:szCs w:val="24"/>
        </w:rPr>
        <w:t xml:space="preserve"> </w:t>
      </w:r>
    </w:p>
    <w:p w14:paraId="10FF5987" w14:textId="77777777" w:rsidR="00650B05" w:rsidRPr="003137EA" w:rsidRDefault="00650B05" w:rsidP="00C34E03">
      <w:pPr>
        <w:spacing w:after="0"/>
        <w:rPr>
          <w:rFonts w:ascii="Arial" w:hAnsi="Arial" w:cs="Arial"/>
          <w:b/>
          <w:bCs/>
          <w:sz w:val="32"/>
          <w:szCs w:val="32"/>
        </w:rPr>
      </w:pPr>
    </w:p>
    <w:sectPr w:rsidR="00650B05" w:rsidRPr="003137EA" w:rsidSect="00650B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1D3DA" w14:textId="77777777" w:rsidR="008C0ABD" w:rsidRDefault="008C0ABD" w:rsidP="00EA1A68">
      <w:pPr>
        <w:spacing w:after="0"/>
      </w:pPr>
      <w:r>
        <w:separator/>
      </w:r>
    </w:p>
  </w:endnote>
  <w:endnote w:type="continuationSeparator" w:id="0">
    <w:p w14:paraId="28DBA539" w14:textId="77777777" w:rsidR="008C0ABD" w:rsidRDefault="008C0ABD" w:rsidP="00EA1A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FADA" w14:textId="082C0DE0" w:rsidR="00EA1A68" w:rsidRPr="00164B66" w:rsidRDefault="00164B66" w:rsidP="00650B05">
    <w:pPr>
      <w:pStyle w:val="Footer"/>
      <w:jc w:val="right"/>
      <w:rPr>
        <w:rFonts w:ascii="Arial" w:hAnsi="Arial" w:cs="Arial"/>
        <w:sz w:val="20"/>
        <w:szCs w:val="20"/>
      </w:rPr>
    </w:pPr>
    <w:r w:rsidRPr="00164B66">
      <w:rPr>
        <w:rFonts w:ascii="Arial" w:hAnsi="Arial" w:cs="Arial"/>
        <w:sz w:val="20"/>
        <w:szCs w:val="20"/>
      </w:rPr>
      <w:t xml:space="preserve">Date </w:t>
    </w:r>
    <w:r w:rsidR="008751FB">
      <w:rPr>
        <w:rFonts w:ascii="Arial" w:hAnsi="Arial" w:cs="Arial"/>
        <w:sz w:val="20"/>
        <w:szCs w:val="20"/>
      </w:rPr>
      <w:t>last updated</w:t>
    </w:r>
    <w:r w:rsidRPr="00164B66">
      <w:rPr>
        <w:rFonts w:ascii="Arial" w:hAnsi="Arial" w:cs="Arial"/>
        <w:sz w:val="20"/>
        <w:szCs w:val="20"/>
      </w:rPr>
      <w:t xml:space="preserve">: </w:t>
    </w:r>
    <w:r w:rsidR="00627CA8">
      <w:rPr>
        <w:rFonts w:ascii="Arial" w:hAnsi="Arial" w:cs="Arial"/>
        <w:sz w:val="20"/>
        <w:szCs w:val="20"/>
      </w:rPr>
      <w:t>October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995279"/>
      <w:docPartObj>
        <w:docPartGallery w:val="Page Numbers (Bottom of Page)"/>
        <w:docPartUnique/>
      </w:docPartObj>
    </w:sdtPr>
    <w:sdtEndPr/>
    <w:sdtContent>
      <w:sdt>
        <w:sdtPr>
          <w:id w:val="-1276715804"/>
          <w:docPartObj>
            <w:docPartGallery w:val="Page Numbers (Top of Page)"/>
            <w:docPartUnique/>
          </w:docPartObj>
        </w:sdtPr>
        <w:sdtEndPr/>
        <w:sdtContent>
          <w:p w14:paraId="47EC9B4E" w14:textId="58E0FB8A" w:rsidR="003778D7" w:rsidRDefault="003778D7">
            <w:pPr>
              <w:pStyle w:val="Footer"/>
              <w:jc w:val="center"/>
            </w:pPr>
            <w:r w:rsidRPr="003778D7">
              <w:rPr>
                <w:rFonts w:ascii="Arial" w:hAnsi="Arial" w:cs="Arial"/>
                <w:sz w:val="20"/>
                <w:szCs w:val="20"/>
                <w:lang w:val="en-GB"/>
              </w:rPr>
              <w:t xml:space="preserve">Page </w:t>
            </w:r>
            <w:r w:rsidRPr="003778D7">
              <w:rPr>
                <w:rFonts w:ascii="Arial" w:hAnsi="Arial" w:cs="Arial"/>
                <w:b/>
                <w:bCs/>
                <w:sz w:val="20"/>
                <w:szCs w:val="20"/>
              </w:rPr>
              <w:fldChar w:fldCharType="begin"/>
            </w:r>
            <w:r w:rsidRPr="003778D7">
              <w:rPr>
                <w:rFonts w:ascii="Arial" w:hAnsi="Arial" w:cs="Arial"/>
                <w:b/>
                <w:bCs/>
                <w:sz w:val="20"/>
                <w:szCs w:val="20"/>
              </w:rPr>
              <w:instrText>PAGE</w:instrText>
            </w:r>
            <w:r w:rsidRPr="003778D7">
              <w:rPr>
                <w:rFonts w:ascii="Arial" w:hAnsi="Arial" w:cs="Arial"/>
                <w:b/>
                <w:bCs/>
                <w:sz w:val="20"/>
                <w:szCs w:val="20"/>
              </w:rPr>
              <w:fldChar w:fldCharType="separate"/>
            </w:r>
            <w:r w:rsidRPr="003778D7">
              <w:rPr>
                <w:rFonts w:ascii="Arial" w:hAnsi="Arial" w:cs="Arial"/>
                <w:b/>
                <w:bCs/>
                <w:sz w:val="20"/>
                <w:szCs w:val="20"/>
                <w:lang w:val="en-GB"/>
              </w:rPr>
              <w:t>2</w:t>
            </w:r>
            <w:r w:rsidRPr="003778D7">
              <w:rPr>
                <w:rFonts w:ascii="Arial" w:hAnsi="Arial" w:cs="Arial"/>
                <w:b/>
                <w:bCs/>
                <w:sz w:val="20"/>
                <w:szCs w:val="20"/>
              </w:rPr>
              <w:fldChar w:fldCharType="end"/>
            </w:r>
            <w:r w:rsidRPr="003778D7">
              <w:rPr>
                <w:rFonts w:ascii="Arial" w:hAnsi="Arial" w:cs="Arial"/>
                <w:sz w:val="20"/>
                <w:szCs w:val="20"/>
                <w:lang w:val="en-GB"/>
              </w:rPr>
              <w:t xml:space="preserve"> of </w:t>
            </w:r>
            <w:r w:rsidRPr="003778D7">
              <w:rPr>
                <w:rFonts w:ascii="Arial" w:hAnsi="Arial" w:cs="Arial"/>
                <w:b/>
                <w:bCs/>
                <w:sz w:val="20"/>
                <w:szCs w:val="20"/>
              </w:rPr>
              <w:fldChar w:fldCharType="begin"/>
            </w:r>
            <w:r w:rsidRPr="003778D7">
              <w:rPr>
                <w:rFonts w:ascii="Arial" w:hAnsi="Arial" w:cs="Arial"/>
                <w:b/>
                <w:bCs/>
                <w:sz w:val="20"/>
                <w:szCs w:val="20"/>
              </w:rPr>
              <w:instrText>NUMPAGES</w:instrText>
            </w:r>
            <w:r w:rsidRPr="003778D7">
              <w:rPr>
                <w:rFonts w:ascii="Arial" w:hAnsi="Arial" w:cs="Arial"/>
                <w:b/>
                <w:bCs/>
                <w:sz w:val="20"/>
                <w:szCs w:val="20"/>
              </w:rPr>
              <w:fldChar w:fldCharType="separate"/>
            </w:r>
            <w:r w:rsidRPr="003778D7">
              <w:rPr>
                <w:rFonts w:ascii="Arial" w:hAnsi="Arial" w:cs="Arial"/>
                <w:b/>
                <w:bCs/>
                <w:sz w:val="20"/>
                <w:szCs w:val="20"/>
                <w:lang w:val="en-GB"/>
              </w:rPr>
              <w:t>2</w:t>
            </w:r>
            <w:r w:rsidRPr="003778D7">
              <w:rPr>
                <w:rFonts w:ascii="Arial" w:hAnsi="Arial" w:cs="Arial"/>
                <w:b/>
                <w:bCs/>
                <w:sz w:val="20"/>
                <w:szCs w:val="20"/>
              </w:rPr>
              <w:fldChar w:fldCharType="end"/>
            </w:r>
          </w:p>
        </w:sdtContent>
      </w:sdt>
    </w:sdtContent>
  </w:sdt>
  <w:p w14:paraId="34F945B2" w14:textId="77777777" w:rsidR="003778D7" w:rsidRDefault="00377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814801"/>
      <w:docPartObj>
        <w:docPartGallery w:val="Page Numbers (Bottom of Page)"/>
        <w:docPartUnique/>
      </w:docPartObj>
    </w:sdtPr>
    <w:sdtEndPr/>
    <w:sdtContent>
      <w:sdt>
        <w:sdtPr>
          <w:id w:val="1728636285"/>
          <w:docPartObj>
            <w:docPartGallery w:val="Page Numbers (Top of Page)"/>
            <w:docPartUnique/>
          </w:docPartObj>
        </w:sdtPr>
        <w:sdtEndPr/>
        <w:sdtContent>
          <w:p w14:paraId="6585D42B" w14:textId="0385A330" w:rsidR="00650B05" w:rsidRPr="0064397D" w:rsidRDefault="003778D7" w:rsidP="0064397D">
            <w:pPr>
              <w:pStyle w:val="Footer"/>
              <w:jc w:val="center"/>
              <w:rPr>
                <w:rFonts w:ascii="Arial" w:hAnsi="Arial" w:cs="Arial"/>
                <w:b/>
                <w:bCs/>
                <w:sz w:val="20"/>
                <w:szCs w:val="20"/>
              </w:rPr>
            </w:pPr>
            <w:r w:rsidRPr="003778D7">
              <w:rPr>
                <w:rFonts w:ascii="Arial" w:hAnsi="Arial" w:cs="Arial"/>
                <w:sz w:val="20"/>
                <w:szCs w:val="20"/>
                <w:lang w:val="en-GB"/>
              </w:rPr>
              <w:t xml:space="preserve">Page </w:t>
            </w:r>
            <w:r w:rsidRPr="003778D7">
              <w:rPr>
                <w:rFonts w:ascii="Arial" w:hAnsi="Arial" w:cs="Arial"/>
                <w:b/>
                <w:bCs/>
                <w:sz w:val="20"/>
                <w:szCs w:val="20"/>
              </w:rPr>
              <w:fldChar w:fldCharType="begin"/>
            </w:r>
            <w:r w:rsidRPr="003778D7">
              <w:rPr>
                <w:rFonts w:ascii="Arial" w:hAnsi="Arial" w:cs="Arial"/>
                <w:b/>
                <w:bCs/>
                <w:sz w:val="20"/>
                <w:szCs w:val="20"/>
              </w:rPr>
              <w:instrText>PAGE</w:instrText>
            </w:r>
            <w:r w:rsidRPr="003778D7">
              <w:rPr>
                <w:rFonts w:ascii="Arial" w:hAnsi="Arial" w:cs="Arial"/>
                <w:b/>
                <w:bCs/>
                <w:sz w:val="20"/>
                <w:szCs w:val="20"/>
              </w:rPr>
              <w:fldChar w:fldCharType="separate"/>
            </w:r>
            <w:r w:rsidRPr="003778D7">
              <w:rPr>
                <w:rFonts w:ascii="Arial" w:hAnsi="Arial" w:cs="Arial"/>
                <w:b/>
                <w:bCs/>
                <w:sz w:val="20"/>
                <w:szCs w:val="20"/>
                <w:lang w:val="en-GB"/>
              </w:rPr>
              <w:t>2</w:t>
            </w:r>
            <w:r w:rsidRPr="003778D7">
              <w:rPr>
                <w:rFonts w:ascii="Arial" w:hAnsi="Arial" w:cs="Arial"/>
                <w:b/>
                <w:bCs/>
                <w:sz w:val="20"/>
                <w:szCs w:val="20"/>
              </w:rPr>
              <w:fldChar w:fldCharType="end"/>
            </w:r>
            <w:r w:rsidRPr="003778D7">
              <w:rPr>
                <w:rFonts w:ascii="Arial" w:hAnsi="Arial" w:cs="Arial"/>
                <w:sz w:val="20"/>
                <w:szCs w:val="20"/>
                <w:lang w:val="en-GB"/>
              </w:rPr>
              <w:t xml:space="preserve"> of </w:t>
            </w:r>
            <w:r w:rsidRPr="003778D7">
              <w:rPr>
                <w:rFonts w:ascii="Arial" w:hAnsi="Arial" w:cs="Arial"/>
                <w:b/>
                <w:bCs/>
                <w:sz w:val="20"/>
                <w:szCs w:val="20"/>
              </w:rPr>
              <w:fldChar w:fldCharType="begin"/>
            </w:r>
            <w:r w:rsidRPr="003778D7">
              <w:rPr>
                <w:rFonts w:ascii="Arial" w:hAnsi="Arial" w:cs="Arial"/>
                <w:b/>
                <w:bCs/>
                <w:sz w:val="20"/>
                <w:szCs w:val="20"/>
              </w:rPr>
              <w:instrText>NUMPAGES</w:instrText>
            </w:r>
            <w:r w:rsidRPr="003778D7">
              <w:rPr>
                <w:rFonts w:ascii="Arial" w:hAnsi="Arial" w:cs="Arial"/>
                <w:b/>
                <w:bCs/>
                <w:sz w:val="20"/>
                <w:szCs w:val="20"/>
              </w:rPr>
              <w:fldChar w:fldCharType="separate"/>
            </w:r>
            <w:r w:rsidRPr="003778D7">
              <w:rPr>
                <w:rFonts w:ascii="Arial" w:hAnsi="Arial" w:cs="Arial"/>
                <w:b/>
                <w:bCs/>
                <w:sz w:val="20"/>
                <w:szCs w:val="20"/>
                <w:lang w:val="en-GB"/>
              </w:rPr>
              <w:t>2</w:t>
            </w:r>
            <w:r w:rsidRPr="003778D7">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0B6E" w14:textId="77777777" w:rsidR="008C0ABD" w:rsidRDefault="008C0ABD" w:rsidP="00EA1A68">
      <w:pPr>
        <w:spacing w:after="0"/>
      </w:pPr>
      <w:r>
        <w:separator/>
      </w:r>
    </w:p>
  </w:footnote>
  <w:footnote w:type="continuationSeparator" w:id="0">
    <w:p w14:paraId="782DF32F" w14:textId="77777777" w:rsidR="008C0ABD" w:rsidRDefault="008C0ABD" w:rsidP="00EA1A68">
      <w:pPr>
        <w:spacing w:after="0"/>
      </w:pPr>
      <w:r>
        <w:continuationSeparator/>
      </w:r>
    </w:p>
  </w:footnote>
  <w:footnote w:id="1">
    <w:p w14:paraId="33991900" w14:textId="451DB809" w:rsidR="003915E3" w:rsidRPr="009F5E09" w:rsidRDefault="003915E3" w:rsidP="003915E3">
      <w:pPr>
        <w:pStyle w:val="FootnoteText"/>
        <w:rPr>
          <w:rFonts w:ascii="Arial" w:hAnsi="Arial" w:cs="Arial"/>
        </w:rPr>
      </w:pPr>
      <w:r w:rsidRPr="009F5E09">
        <w:rPr>
          <w:rStyle w:val="FootnoteReference"/>
          <w:rFonts w:ascii="Arial" w:hAnsi="Arial" w:cs="Arial"/>
        </w:rPr>
        <w:footnoteRef/>
      </w:r>
      <w:r w:rsidRPr="009F5E09">
        <w:rPr>
          <w:rFonts w:ascii="Arial" w:hAnsi="Arial" w:cs="Arial"/>
        </w:rPr>
        <w:t xml:space="preserve"> S.I. No. 128 of 2021</w:t>
      </w:r>
      <w:r w:rsidR="0016293A">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2A7C" w14:textId="292AB33C" w:rsidR="00F36BAE" w:rsidRDefault="00F36BAE" w:rsidP="00F36BAE">
    <w:pPr>
      <w:pStyle w:val="Header"/>
      <w:jc w:val="center"/>
    </w:pPr>
    <w:r>
      <w:rPr>
        <w:noProof/>
      </w:rPr>
      <w:drawing>
        <wp:inline distT="0" distB="0" distL="0" distR="0" wp14:anchorId="7C8AA2B9" wp14:editId="6D9191D5">
          <wp:extent cx="1618488" cy="539496"/>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A-Logo2013-CMYK-CS4-45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88" cy="539496"/>
                  </a:xfrm>
                  <a:prstGeom prst="rect">
                    <a:avLst/>
                  </a:prstGeom>
                </pic:spPr>
              </pic:pic>
            </a:graphicData>
          </a:graphic>
        </wp:inline>
      </w:drawing>
    </w:r>
  </w:p>
  <w:p w14:paraId="662AC4DC" w14:textId="77777777" w:rsidR="00B95521" w:rsidRDefault="00B95521" w:rsidP="00F36BA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0AFE" w14:textId="36ED8131" w:rsidR="00B95521" w:rsidRDefault="00B95521" w:rsidP="00B95521">
    <w:pPr>
      <w:pStyle w:val="Header"/>
      <w:jc w:val="center"/>
    </w:pPr>
    <w:r>
      <w:rPr>
        <w:noProof/>
      </w:rPr>
      <w:drawing>
        <wp:inline distT="0" distB="0" distL="0" distR="0" wp14:anchorId="77E72050" wp14:editId="78CF9B17">
          <wp:extent cx="1618488" cy="539496"/>
          <wp:effectExtent l="0" t="0" r="1270" b="0"/>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88" cy="539496"/>
                  </a:xfrm>
                  <a:prstGeom prst="rect">
                    <a:avLst/>
                  </a:prstGeom>
                </pic:spPr>
              </pic:pic>
            </a:graphicData>
          </a:graphic>
        </wp:inline>
      </w:drawing>
    </w:r>
  </w:p>
  <w:p w14:paraId="50821349" w14:textId="77777777" w:rsidR="00B95521" w:rsidRDefault="00B95521" w:rsidP="00B955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E69"/>
    <w:multiLevelType w:val="hybridMultilevel"/>
    <w:tmpl w:val="515C9DF0"/>
    <w:lvl w:ilvl="0" w:tplc="A1F4921A">
      <w:start w:val="1"/>
      <w:numFmt w:val="decimal"/>
      <w:lvlText w:val="%1."/>
      <w:lvlJc w:val="left"/>
      <w:pPr>
        <w:ind w:left="379" w:hanging="360"/>
      </w:pPr>
      <w:rPr>
        <w:rFonts w:hint="default"/>
      </w:rPr>
    </w:lvl>
    <w:lvl w:ilvl="1" w:tplc="18090019" w:tentative="1">
      <w:start w:val="1"/>
      <w:numFmt w:val="lowerLetter"/>
      <w:lvlText w:val="%2."/>
      <w:lvlJc w:val="left"/>
      <w:pPr>
        <w:ind w:left="1099" w:hanging="360"/>
      </w:pPr>
    </w:lvl>
    <w:lvl w:ilvl="2" w:tplc="1809001B" w:tentative="1">
      <w:start w:val="1"/>
      <w:numFmt w:val="lowerRoman"/>
      <w:lvlText w:val="%3."/>
      <w:lvlJc w:val="right"/>
      <w:pPr>
        <w:ind w:left="1819" w:hanging="180"/>
      </w:pPr>
    </w:lvl>
    <w:lvl w:ilvl="3" w:tplc="1809000F" w:tentative="1">
      <w:start w:val="1"/>
      <w:numFmt w:val="decimal"/>
      <w:lvlText w:val="%4."/>
      <w:lvlJc w:val="left"/>
      <w:pPr>
        <w:ind w:left="2539" w:hanging="360"/>
      </w:pPr>
    </w:lvl>
    <w:lvl w:ilvl="4" w:tplc="18090019" w:tentative="1">
      <w:start w:val="1"/>
      <w:numFmt w:val="lowerLetter"/>
      <w:lvlText w:val="%5."/>
      <w:lvlJc w:val="left"/>
      <w:pPr>
        <w:ind w:left="3259" w:hanging="360"/>
      </w:pPr>
    </w:lvl>
    <w:lvl w:ilvl="5" w:tplc="1809001B" w:tentative="1">
      <w:start w:val="1"/>
      <w:numFmt w:val="lowerRoman"/>
      <w:lvlText w:val="%6."/>
      <w:lvlJc w:val="right"/>
      <w:pPr>
        <w:ind w:left="3979" w:hanging="180"/>
      </w:pPr>
    </w:lvl>
    <w:lvl w:ilvl="6" w:tplc="1809000F" w:tentative="1">
      <w:start w:val="1"/>
      <w:numFmt w:val="decimal"/>
      <w:lvlText w:val="%7."/>
      <w:lvlJc w:val="left"/>
      <w:pPr>
        <w:ind w:left="4699" w:hanging="360"/>
      </w:pPr>
    </w:lvl>
    <w:lvl w:ilvl="7" w:tplc="18090019" w:tentative="1">
      <w:start w:val="1"/>
      <w:numFmt w:val="lowerLetter"/>
      <w:lvlText w:val="%8."/>
      <w:lvlJc w:val="left"/>
      <w:pPr>
        <w:ind w:left="5419" w:hanging="360"/>
      </w:pPr>
    </w:lvl>
    <w:lvl w:ilvl="8" w:tplc="1809001B" w:tentative="1">
      <w:start w:val="1"/>
      <w:numFmt w:val="lowerRoman"/>
      <w:lvlText w:val="%9."/>
      <w:lvlJc w:val="right"/>
      <w:pPr>
        <w:ind w:left="6139" w:hanging="180"/>
      </w:pPr>
    </w:lvl>
  </w:abstractNum>
  <w:abstractNum w:abstractNumId="1" w15:restartNumberingAfterBreak="0">
    <w:nsid w:val="0EAA4B73"/>
    <w:multiLevelType w:val="multilevel"/>
    <w:tmpl w:val="B02E6384"/>
    <w:lvl w:ilvl="0">
      <w:start w:val="1"/>
      <w:numFmt w:val="decimal"/>
      <w:pStyle w:val="Heading3"/>
      <w:lvlText w:val="%1."/>
      <w:lvlJc w:val="left"/>
      <w:pPr>
        <w:ind w:left="737" w:hanging="360"/>
      </w:pPr>
    </w:lvl>
    <w:lvl w:ilvl="1">
      <w:start w:val="6"/>
      <w:numFmt w:val="decimal"/>
      <w:isLgl/>
      <w:lvlText w:val="%1.%2"/>
      <w:lvlJc w:val="left"/>
      <w:pPr>
        <w:ind w:left="1107" w:hanging="730"/>
      </w:pPr>
      <w:rPr>
        <w:rFonts w:hint="default"/>
      </w:rPr>
    </w:lvl>
    <w:lvl w:ilvl="2">
      <w:start w:val="1"/>
      <w:numFmt w:val="decimal"/>
      <w:isLgl/>
      <w:lvlText w:val="%1.%2.%3"/>
      <w:lvlJc w:val="left"/>
      <w:pPr>
        <w:ind w:left="1107" w:hanging="730"/>
      </w:pPr>
      <w:rPr>
        <w:rFonts w:hint="default"/>
      </w:rPr>
    </w:lvl>
    <w:lvl w:ilvl="3">
      <w:start w:val="1"/>
      <w:numFmt w:val="decimal"/>
      <w:isLgl/>
      <w:lvlText w:val="%1.%2.%3.%4"/>
      <w:lvlJc w:val="left"/>
      <w:pPr>
        <w:ind w:left="1457" w:hanging="1080"/>
      </w:pPr>
      <w:rPr>
        <w:rFonts w:hint="default"/>
      </w:rPr>
    </w:lvl>
    <w:lvl w:ilvl="4">
      <w:start w:val="1"/>
      <w:numFmt w:val="decimal"/>
      <w:isLgl/>
      <w:lvlText w:val="%1.%2.%3.%4.%5"/>
      <w:lvlJc w:val="left"/>
      <w:pPr>
        <w:ind w:left="1457" w:hanging="1080"/>
      </w:pPr>
      <w:rPr>
        <w:rFonts w:hint="default"/>
      </w:rPr>
    </w:lvl>
    <w:lvl w:ilvl="5">
      <w:start w:val="1"/>
      <w:numFmt w:val="decimal"/>
      <w:isLgl/>
      <w:lvlText w:val="%1.%2.%3.%4.%5.%6"/>
      <w:lvlJc w:val="left"/>
      <w:pPr>
        <w:ind w:left="1817" w:hanging="1440"/>
      </w:pPr>
      <w:rPr>
        <w:rFonts w:hint="default"/>
      </w:rPr>
    </w:lvl>
    <w:lvl w:ilvl="6">
      <w:start w:val="1"/>
      <w:numFmt w:val="decimal"/>
      <w:isLgl/>
      <w:lvlText w:val="%1.%2.%3.%4.%5.%6.%7"/>
      <w:lvlJc w:val="left"/>
      <w:pPr>
        <w:ind w:left="1817" w:hanging="1440"/>
      </w:pPr>
      <w:rPr>
        <w:rFonts w:hint="default"/>
      </w:rPr>
    </w:lvl>
    <w:lvl w:ilvl="7">
      <w:start w:val="1"/>
      <w:numFmt w:val="decimal"/>
      <w:isLgl/>
      <w:lvlText w:val="%1.%2.%3.%4.%5.%6.%7.%8"/>
      <w:lvlJc w:val="left"/>
      <w:pPr>
        <w:ind w:left="2177" w:hanging="1800"/>
      </w:pPr>
      <w:rPr>
        <w:rFonts w:hint="default"/>
      </w:rPr>
    </w:lvl>
    <w:lvl w:ilvl="8">
      <w:start w:val="1"/>
      <w:numFmt w:val="decimal"/>
      <w:isLgl/>
      <w:lvlText w:val="%1.%2.%3.%4.%5.%6.%7.%8.%9"/>
      <w:lvlJc w:val="left"/>
      <w:pPr>
        <w:ind w:left="2177" w:hanging="1800"/>
      </w:pPr>
      <w:rPr>
        <w:rFonts w:hint="default"/>
      </w:rPr>
    </w:lvl>
  </w:abstractNum>
  <w:abstractNum w:abstractNumId="2" w15:restartNumberingAfterBreak="0">
    <w:nsid w:val="13AA10BE"/>
    <w:multiLevelType w:val="hybridMultilevel"/>
    <w:tmpl w:val="E9A26EB8"/>
    <w:lvl w:ilvl="0" w:tplc="F06CFE70">
      <w:start w:val="1"/>
      <w:numFmt w:val="lowerLetter"/>
      <w:lvlText w:val="(%1)"/>
      <w:lvlJc w:val="left"/>
      <w:pPr>
        <w:ind w:left="14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683E42">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D7805C0">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F26349E">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E5C2642">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1A296C2">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ACA52AE">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CEEADA0">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94AE9CC">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70B0AA5"/>
    <w:multiLevelType w:val="hybridMultilevel"/>
    <w:tmpl w:val="7EAAD7CC"/>
    <w:lvl w:ilvl="0" w:tplc="6BF63278">
      <w:start w:val="1"/>
      <w:numFmt w:val="lowerRoman"/>
      <w:lvlText w:val="(%1)"/>
      <w:lvlJc w:val="left"/>
      <w:pPr>
        <w:ind w:left="146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41BE77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C2F8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D246C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54EC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96581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C405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2C767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5481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875E43"/>
    <w:multiLevelType w:val="hybridMultilevel"/>
    <w:tmpl w:val="35C6755A"/>
    <w:lvl w:ilvl="0" w:tplc="69C044C8">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97C379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838CB9C">
      <w:start w:val="1"/>
      <w:numFmt w:val="lowerLetter"/>
      <w:lvlRestart w:val="0"/>
      <w:lvlText w:val="(%3)"/>
      <w:lvlJc w:val="left"/>
      <w:pPr>
        <w:ind w:left="218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F358063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5C4838E">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D765558">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6BA59F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B26353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ACC865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45A10018"/>
    <w:multiLevelType w:val="hybridMultilevel"/>
    <w:tmpl w:val="A40E5B44"/>
    <w:lvl w:ilvl="0" w:tplc="3C2A8CE8">
      <w:start w:val="1"/>
      <w:numFmt w:val="lowerLetter"/>
      <w:lvlText w:val="(%1)"/>
      <w:lvlJc w:val="left"/>
      <w:pPr>
        <w:ind w:left="737" w:hanging="360"/>
      </w:pPr>
      <w:rPr>
        <w:rFonts w:hint="default"/>
      </w:rPr>
    </w:lvl>
    <w:lvl w:ilvl="1" w:tplc="18090019" w:tentative="1">
      <w:start w:val="1"/>
      <w:numFmt w:val="lowerLetter"/>
      <w:lvlText w:val="%2."/>
      <w:lvlJc w:val="left"/>
      <w:pPr>
        <w:ind w:left="1457" w:hanging="360"/>
      </w:pPr>
    </w:lvl>
    <w:lvl w:ilvl="2" w:tplc="1809001B" w:tentative="1">
      <w:start w:val="1"/>
      <w:numFmt w:val="lowerRoman"/>
      <w:lvlText w:val="%3."/>
      <w:lvlJc w:val="right"/>
      <w:pPr>
        <w:ind w:left="2177" w:hanging="180"/>
      </w:pPr>
    </w:lvl>
    <w:lvl w:ilvl="3" w:tplc="1809000F" w:tentative="1">
      <w:start w:val="1"/>
      <w:numFmt w:val="decimal"/>
      <w:lvlText w:val="%4."/>
      <w:lvlJc w:val="left"/>
      <w:pPr>
        <w:ind w:left="2897" w:hanging="360"/>
      </w:pPr>
    </w:lvl>
    <w:lvl w:ilvl="4" w:tplc="18090019" w:tentative="1">
      <w:start w:val="1"/>
      <w:numFmt w:val="lowerLetter"/>
      <w:lvlText w:val="%5."/>
      <w:lvlJc w:val="left"/>
      <w:pPr>
        <w:ind w:left="3617" w:hanging="360"/>
      </w:pPr>
    </w:lvl>
    <w:lvl w:ilvl="5" w:tplc="1809001B" w:tentative="1">
      <w:start w:val="1"/>
      <w:numFmt w:val="lowerRoman"/>
      <w:lvlText w:val="%6."/>
      <w:lvlJc w:val="right"/>
      <w:pPr>
        <w:ind w:left="4337" w:hanging="180"/>
      </w:pPr>
    </w:lvl>
    <w:lvl w:ilvl="6" w:tplc="1809000F" w:tentative="1">
      <w:start w:val="1"/>
      <w:numFmt w:val="decimal"/>
      <w:lvlText w:val="%7."/>
      <w:lvlJc w:val="left"/>
      <w:pPr>
        <w:ind w:left="5057" w:hanging="360"/>
      </w:pPr>
    </w:lvl>
    <w:lvl w:ilvl="7" w:tplc="18090019" w:tentative="1">
      <w:start w:val="1"/>
      <w:numFmt w:val="lowerLetter"/>
      <w:lvlText w:val="%8."/>
      <w:lvlJc w:val="left"/>
      <w:pPr>
        <w:ind w:left="5777" w:hanging="360"/>
      </w:pPr>
    </w:lvl>
    <w:lvl w:ilvl="8" w:tplc="1809001B" w:tentative="1">
      <w:start w:val="1"/>
      <w:numFmt w:val="lowerRoman"/>
      <w:lvlText w:val="%9."/>
      <w:lvlJc w:val="right"/>
      <w:pPr>
        <w:ind w:left="6497" w:hanging="180"/>
      </w:pPr>
    </w:lvl>
  </w:abstractNum>
  <w:abstractNum w:abstractNumId="6" w15:restartNumberingAfterBreak="0">
    <w:nsid w:val="4EE57503"/>
    <w:multiLevelType w:val="multilevel"/>
    <w:tmpl w:val="84AC61E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EE5770D"/>
    <w:multiLevelType w:val="hybridMultilevel"/>
    <w:tmpl w:val="EEF84B9C"/>
    <w:lvl w:ilvl="0" w:tplc="1A661E18">
      <w:start w:val="1"/>
      <w:numFmt w:val="lowerLetter"/>
      <w:lvlText w:val="(%1)"/>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0855A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D828F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CE30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20F61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127F7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E0C08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74875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079B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4C3BD4"/>
    <w:multiLevelType w:val="multilevel"/>
    <w:tmpl w:val="871E0EB8"/>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A164E0E"/>
    <w:multiLevelType w:val="hybridMultilevel"/>
    <w:tmpl w:val="B4FA7492"/>
    <w:lvl w:ilvl="0" w:tplc="7520B1C4">
      <w:start w:val="1"/>
      <w:numFmt w:val="lowerLetter"/>
      <w:lvlText w:val="(%1)"/>
      <w:lvlJc w:val="left"/>
      <w:pPr>
        <w:ind w:left="146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5B3A17A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78146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884AA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F2053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98FCC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920C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4FDC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C44E2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F7F65F7"/>
    <w:multiLevelType w:val="hybridMultilevel"/>
    <w:tmpl w:val="3650198C"/>
    <w:lvl w:ilvl="0" w:tplc="5D4CA52A">
      <w:start w:val="1"/>
      <w:numFmt w:val="lowerRoman"/>
      <w:lvlText w:val="(%1)"/>
      <w:lvlJc w:val="left"/>
      <w:pPr>
        <w:ind w:left="1449"/>
      </w:pPr>
      <w:rPr>
        <w:rFonts w:ascii="Arial" w:eastAsia="Times New Roman" w:hAnsi="Arial" w:cs="Arial" w:hint="default"/>
        <w:b w:val="0"/>
        <w:i w:val="0"/>
        <w:strike w:val="0"/>
        <w:dstrike w:val="0"/>
        <w:color w:val="080808"/>
        <w:sz w:val="24"/>
        <w:szCs w:val="24"/>
        <w:u w:val="none" w:color="000000"/>
        <w:bdr w:val="none" w:sz="0" w:space="0" w:color="auto"/>
        <w:shd w:val="clear" w:color="auto" w:fill="auto"/>
        <w:vertAlign w:val="baseline"/>
      </w:rPr>
    </w:lvl>
    <w:lvl w:ilvl="1" w:tplc="5DB68DA4">
      <w:start w:val="1"/>
      <w:numFmt w:val="lowerLetter"/>
      <w:lvlText w:val="%2"/>
      <w:lvlJc w:val="left"/>
      <w:pPr>
        <w:ind w:left="1800"/>
      </w:pPr>
      <w:rPr>
        <w:rFonts w:ascii="Times New Roman" w:eastAsia="Times New Roman" w:hAnsi="Times New Roman" w:cs="Times New Roman"/>
        <w:b w:val="0"/>
        <w:i w:val="0"/>
        <w:strike w:val="0"/>
        <w:dstrike w:val="0"/>
        <w:color w:val="080808"/>
        <w:sz w:val="24"/>
        <w:szCs w:val="24"/>
        <w:u w:val="none" w:color="000000"/>
        <w:bdr w:val="none" w:sz="0" w:space="0" w:color="auto"/>
        <w:shd w:val="clear" w:color="auto" w:fill="auto"/>
        <w:vertAlign w:val="baseline"/>
      </w:rPr>
    </w:lvl>
    <w:lvl w:ilvl="2" w:tplc="714E41E4">
      <w:start w:val="1"/>
      <w:numFmt w:val="lowerRoman"/>
      <w:lvlText w:val="%3"/>
      <w:lvlJc w:val="left"/>
      <w:pPr>
        <w:ind w:left="2520"/>
      </w:pPr>
      <w:rPr>
        <w:rFonts w:ascii="Times New Roman" w:eastAsia="Times New Roman" w:hAnsi="Times New Roman" w:cs="Times New Roman"/>
        <w:b w:val="0"/>
        <w:i w:val="0"/>
        <w:strike w:val="0"/>
        <w:dstrike w:val="0"/>
        <w:color w:val="080808"/>
        <w:sz w:val="24"/>
        <w:szCs w:val="24"/>
        <w:u w:val="none" w:color="000000"/>
        <w:bdr w:val="none" w:sz="0" w:space="0" w:color="auto"/>
        <w:shd w:val="clear" w:color="auto" w:fill="auto"/>
        <w:vertAlign w:val="baseline"/>
      </w:rPr>
    </w:lvl>
    <w:lvl w:ilvl="3" w:tplc="37CCE8E2">
      <w:start w:val="1"/>
      <w:numFmt w:val="decimal"/>
      <w:lvlText w:val="%4"/>
      <w:lvlJc w:val="left"/>
      <w:pPr>
        <w:ind w:left="3240"/>
      </w:pPr>
      <w:rPr>
        <w:rFonts w:ascii="Times New Roman" w:eastAsia="Times New Roman" w:hAnsi="Times New Roman" w:cs="Times New Roman"/>
        <w:b w:val="0"/>
        <w:i w:val="0"/>
        <w:strike w:val="0"/>
        <w:dstrike w:val="0"/>
        <w:color w:val="080808"/>
        <w:sz w:val="24"/>
        <w:szCs w:val="24"/>
        <w:u w:val="none" w:color="000000"/>
        <w:bdr w:val="none" w:sz="0" w:space="0" w:color="auto"/>
        <w:shd w:val="clear" w:color="auto" w:fill="auto"/>
        <w:vertAlign w:val="baseline"/>
      </w:rPr>
    </w:lvl>
    <w:lvl w:ilvl="4" w:tplc="AE22EF7E">
      <w:start w:val="1"/>
      <w:numFmt w:val="lowerLetter"/>
      <w:lvlText w:val="%5"/>
      <w:lvlJc w:val="left"/>
      <w:pPr>
        <w:ind w:left="3960"/>
      </w:pPr>
      <w:rPr>
        <w:rFonts w:ascii="Times New Roman" w:eastAsia="Times New Roman" w:hAnsi="Times New Roman" w:cs="Times New Roman"/>
        <w:b w:val="0"/>
        <w:i w:val="0"/>
        <w:strike w:val="0"/>
        <w:dstrike w:val="0"/>
        <w:color w:val="080808"/>
        <w:sz w:val="24"/>
        <w:szCs w:val="24"/>
        <w:u w:val="none" w:color="000000"/>
        <w:bdr w:val="none" w:sz="0" w:space="0" w:color="auto"/>
        <w:shd w:val="clear" w:color="auto" w:fill="auto"/>
        <w:vertAlign w:val="baseline"/>
      </w:rPr>
    </w:lvl>
    <w:lvl w:ilvl="5" w:tplc="46580944">
      <w:start w:val="1"/>
      <w:numFmt w:val="lowerRoman"/>
      <w:lvlText w:val="%6"/>
      <w:lvlJc w:val="left"/>
      <w:pPr>
        <w:ind w:left="4680"/>
      </w:pPr>
      <w:rPr>
        <w:rFonts w:ascii="Times New Roman" w:eastAsia="Times New Roman" w:hAnsi="Times New Roman" w:cs="Times New Roman"/>
        <w:b w:val="0"/>
        <w:i w:val="0"/>
        <w:strike w:val="0"/>
        <w:dstrike w:val="0"/>
        <w:color w:val="080808"/>
        <w:sz w:val="24"/>
        <w:szCs w:val="24"/>
        <w:u w:val="none" w:color="000000"/>
        <w:bdr w:val="none" w:sz="0" w:space="0" w:color="auto"/>
        <w:shd w:val="clear" w:color="auto" w:fill="auto"/>
        <w:vertAlign w:val="baseline"/>
      </w:rPr>
    </w:lvl>
    <w:lvl w:ilvl="6" w:tplc="B2982682">
      <w:start w:val="1"/>
      <w:numFmt w:val="decimal"/>
      <w:lvlText w:val="%7"/>
      <w:lvlJc w:val="left"/>
      <w:pPr>
        <w:ind w:left="5400"/>
      </w:pPr>
      <w:rPr>
        <w:rFonts w:ascii="Times New Roman" w:eastAsia="Times New Roman" w:hAnsi="Times New Roman" w:cs="Times New Roman"/>
        <w:b w:val="0"/>
        <w:i w:val="0"/>
        <w:strike w:val="0"/>
        <w:dstrike w:val="0"/>
        <w:color w:val="080808"/>
        <w:sz w:val="24"/>
        <w:szCs w:val="24"/>
        <w:u w:val="none" w:color="000000"/>
        <w:bdr w:val="none" w:sz="0" w:space="0" w:color="auto"/>
        <w:shd w:val="clear" w:color="auto" w:fill="auto"/>
        <w:vertAlign w:val="baseline"/>
      </w:rPr>
    </w:lvl>
    <w:lvl w:ilvl="7" w:tplc="CB0624A4">
      <w:start w:val="1"/>
      <w:numFmt w:val="lowerLetter"/>
      <w:lvlText w:val="%8"/>
      <w:lvlJc w:val="left"/>
      <w:pPr>
        <w:ind w:left="6120"/>
      </w:pPr>
      <w:rPr>
        <w:rFonts w:ascii="Times New Roman" w:eastAsia="Times New Roman" w:hAnsi="Times New Roman" w:cs="Times New Roman"/>
        <w:b w:val="0"/>
        <w:i w:val="0"/>
        <w:strike w:val="0"/>
        <w:dstrike w:val="0"/>
        <w:color w:val="080808"/>
        <w:sz w:val="24"/>
        <w:szCs w:val="24"/>
        <w:u w:val="none" w:color="000000"/>
        <w:bdr w:val="none" w:sz="0" w:space="0" w:color="auto"/>
        <w:shd w:val="clear" w:color="auto" w:fill="auto"/>
        <w:vertAlign w:val="baseline"/>
      </w:rPr>
    </w:lvl>
    <w:lvl w:ilvl="8" w:tplc="11007EE6">
      <w:start w:val="1"/>
      <w:numFmt w:val="lowerRoman"/>
      <w:lvlText w:val="%9"/>
      <w:lvlJc w:val="left"/>
      <w:pPr>
        <w:ind w:left="6840"/>
      </w:pPr>
      <w:rPr>
        <w:rFonts w:ascii="Times New Roman" w:eastAsia="Times New Roman" w:hAnsi="Times New Roman" w:cs="Times New Roman"/>
        <w:b w:val="0"/>
        <w:i w:val="0"/>
        <w:strike w:val="0"/>
        <w:dstrike w:val="0"/>
        <w:color w:val="080808"/>
        <w:sz w:val="24"/>
        <w:szCs w:val="24"/>
        <w:u w:val="none" w:color="000000"/>
        <w:bdr w:val="none" w:sz="0" w:space="0" w:color="auto"/>
        <w:shd w:val="clear" w:color="auto" w:fill="auto"/>
        <w:vertAlign w:val="baseline"/>
      </w:rPr>
    </w:lvl>
  </w:abstractNum>
  <w:abstractNum w:abstractNumId="11" w15:restartNumberingAfterBreak="0">
    <w:nsid w:val="66DC5273"/>
    <w:multiLevelType w:val="hybridMultilevel"/>
    <w:tmpl w:val="2E6E818A"/>
    <w:lvl w:ilvl="0" w:tplc="F20079DC">
      <w:start w:val="1"/>
      <w:numFmt w:val="lowerLetter"/>
      <w:lvlText w:val="(%1)"/>
      <w:lvlJc w:val="left"/>
      <w:pPr>
        <w:ind w:left="146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9A4BB6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F2AB0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20D02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3AFC8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1ED39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6834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0ABF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40556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CB2AB7"/>
    <w:multiLevelType w:val="multilevel"/>
    <w:tmpl w:val="B1CEB976"/>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009698E"/>
    <w:multiLevelType w:val="hybridMultilevel"/>
    <w:tmpl w:val="4FFE363C"/>
    <w:lvl w:ilvl="0" w:tplc="16808470">
      <w:start w:val="1"/>
      <w:numFmt w:val="lowerLetter"/>
      <w:lvlText w:val="(%1)"/>
      <w:lvlJc w:val="left"/>
      <w:pPr>
        <w:ind w:left="146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B5E0FE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40D5B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DC5A2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F8245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96D4D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BC89C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CEA8B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7C727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1494B8A"/>
    <w:multiLevelType w:val="hybridMultilevel"/>
    <w:tmpl w:val="2208D7BA"/>
    <w:lvl w:ilvl="0" w:tplc="9EBC38F6">
      <w:start w:val="1"/>
      <w:numFmt w:val="lowerRoman"/>
      <w:lvlText w:val="(%1)"/>
      <w:lvlJc w:val="left"/>
      <w:pPr>
        <w:ind w:left="14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16C0343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24AF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06D8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6726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AEAA3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F4474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47AA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D2B0D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89A7751"/>
    <w:multiLevelType w:val="hybridMultilevel"/>
    <w:tmpl w:val="841E0F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58142672">
    <w:abstractNumId w:val="15"/>
  </w:num>
  <w:num w:numId="2" w16cid:durableId="1658144732">
    <w:abstractNumId w:val="14"/>
  </w:num>
  <w:num w:numId="3" w16cid:durableId="1000276028">
    <w:abstractNumId w:val="4"/>
  </w:num>
  <w:num w:numId="4" w16cid:durableId="1838423349">
    <w:abstractNumId w:val="3"/>
  </w:num>
  <w:num w:numId="5" w16cid:durableId="1425417883">
    <w:abstractNumId w:val="10"/>
  </w:num>
  <w:num w:numId="6" w16cid:durableId="473790395">
    <w:abstractNumId w:val="6"/>
  </w:num>
  <w:num w:numId="7" w16cid:durableId="1038432957">
    <w:abstractNumId w:val="7"/>
  </w:num>
  <w:num w:numId="8" w16cid:durableId="499200587">
    <w:abstractNumId w:val="11"/>
  </w:num>
  <w:num w:numId="9" w16cid:durableId="525868318">
    <w:abstractNumId w:val="12"/>
  </w:num>
  <w:num w:numId="10" w16cid:durableId="456602049">
    <w:abstractNumId w:val="2"/>
  </w:num>
  <w:num w:numId="11" w16cid:durableId="1712798760">
    <w:abstractNumId w:val="13"/>
  </w:num>
  <w:num w:numId="12" w16cid:durableId="1863206114">
    <w:abstractNumId w:val="9"/>
  </w:num>
  <w:num w:numId="13" w16cid:durableId="1085298069">
    <w:abstractNumId w:val="8"/>
  </w:num>
  <w:num w:numId="14" w16cid:durableId="686904607">
    <w:abstractNumId w:val="0"/>
  </w:num>
  <w:num w:numId="15" w16cid:durableId="28646785">
    <w:abstractNumId w:val="5"/>
  </w:num>
  <w:num w:numId="16" w16cid:durableId="1480607128">
    <w:abstractNumId w:val="1"/>
  </w:num>
  <w:num w:numId="17" w16cid:durableId="1195921166">
    <w:abstractNumId w:val="1"/>
  </w:num>
  <w:num w:numId="18" w16cid:durableId="664359421">
    <w:abstractNumId w:val="1"/>
  </w:num>
  <w:num w:numId="19" w16cid:durableId="436412936">
    <w:abstractNumId w:val="1"/>
  </w:num>
  <w:num w:numId="20" w16cid:durableId="8993936">
    <w:abstractNumId w:val="1"/>
  </w:num>
  <w:num w:numId="21" w16cid:durableId="997031248">
    <w:abstractNumId w:val="1"/>
  </w:num>
  <w:num w:numId="22" w16cid:durableId="2131627051">
    <w:abstractNumId w:val="1"/>
  </w:num>
  <w:num w:numId="23" w16cid:durableId="1307012998">
    <w:abstractNumId w:val="1"/>
  </w:num>
  <w:num w:numId="24" w16cid:durableId="133913671">
    <w:abstractNumId w:val="1"/>
  </w:num>
  <w:num w:numId="25" w16cid:durableId="202712055">
    <w:abstractNumId w:val="1"/>
  </w:num>
  <w:num w:numId="26" w16cid:durableId="1854303269">
    <w:abstractNumId w:val="1"/>
  </w:num>
  <w:num w:numId="27" w16cid:durableId="1064765824">
    <w:abstractNumId w:val="1"/>
  </w:num>
  <w:num w:numId="28" w16cid:durableId="837111623">
    <w:abstractNumId w:val="1"/>
  </w:num>
  <w:num w:numId="29" w16cid:durableId="1058630810">
    <w:abstractNumId w:val="1"/>
  </w:num>
  <w:num w:numId="30" w16cid:durableId="1330912069">
    <w:abstractNumId w:val="1"/>
  </w:num>
  <w:num w:numId="31" w16cid:durableId="1362971667">
    <w:abstractNumId w:val="1"/>
  </w:num>
  <w:num w:numId="32" w16cid:durableId="1012537176">
    <w:abstractNumId w:val="1"/>
  </w:num>
  <w:num w:numId="33" w16cid:durableId="1812165517">
    <w:abstractNumId w:val="1"/>
  </w:num>
  <w:num w:numId="34" w16cid:durableId="1833445981">
    <w:abstractNumId w:val="1"/>
  </w:num>
  <w:num w:numId="35" w16cid:durableId="248975905">
    <w:abstractNumId w:val="1"/>
  </w:num>
  <w:num w:numId="36" w16cid:durableId="962343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05"/>
    <w:rsid w:val="00011E0B"/>
    <w:rsid w:val="00022115"/>
    <w:rsid w:val="00075938"/>
    <w:rsid w:val="00094E02"/>
    <w:rsid w:val="000B6D49"/>
    <w:rsid w:val="001006AC"/>
    <w:rsid w:val="00102293"/>
    <w:rsid w:val="00116167"/>
    <w:rsid w:val="00131801"/>
    <w:rsid w:val="001503C3"/>
    <w:rsid w:val="00157F50"/>
    <w:rsid w:val="00161FD9"/>
    <w:rsid w:val="0016293A"/>
    <w:rsid w:val="00164B66"/>
    <w:rsid w:val="001779A5"/>
    <w:rsid w:val="001D405E"/>
    <w:rsid w:val="001E2AE1"/>
    <w:rsid w:val="001E7D21"/>
    <w:rsid w:val="00222FE6"/>
    <w:rsid w:val="00254309"/>
    <w:rsid w:val="0027458E"/>
    <w:rsid w:val="00287F76"/>
    <w:rsid w:val="002B08FB"/>
    <w:rsid w:val="002D1003"/>
    <w:rsid w:val="002D1F7F"/>
    <w:rsid w:val="002D264E"/>
    <w:rsid w:val="002D2E7D"/>
    <w:rsid w:val="003137EA"/>
    <w:rsid w:val="003342C3"/>
    <w:rsid w:val="00346CD4"/>
    <w:rsid w:val="00375528"/>
    <w:rsid w:val="00376414"/>
    <w:rsid w:val="003778D7"/>
    <w:rsid w:val="00382A93"/>
    <w:rsid w:val="003915E3"/>
    <w:rsid w:val="00391E93"/>
    <w:rsid w:val="00392CEF"/>
    <w:rsid w:val="003A3DF3"/>
    <w:rsid w:val="003B4709"/>
    <w:rsid w:val="003F4948"/>
    <w:rsid w:val="00492A55"/>
    <w:rsid w:val="004A1264"/>
    <w:rsid w:val="004B1B63"/>
    <w:rsid w:val="004C29BC"/>
    <w:rsid w:val="004D0424"/>
    <w:rsid w:val="004D30B3"/>
    <w:rsid w:val="00500EEC"/>
    <w:rsid w:val="005039F6"/>
    <w:rsid w:val="00513D7D"/>
    <w:rsid w:val="00581AE2"/>
    <w:rsid w:val="00584419"/>
    <w:rsid w:val="00590250"/>
    <w:rsid w:val="005A76DA"/>
    <w:rsid w:val="005F0B0C"/>
    <w:rsid w:val="005F54A8"/>
    <w:rsid w:val="00627CA8"/>
    <w:rsid w:val="0064129A"/>
    <w:rsid w:val="0064397D"/>
    <w:rsid w:val="00650B05"/>
    <w:rsid w:val="00651174"/>
    <w:rsid w:val="00662DFE"/>
    <w:rsid w:val="00664058"/>
    <w:rsid w:val="00664E53"/>
    <w:rsid w:val="006700DF"/>
    <w:rsid w:val="00670847"/>
    <w:rsid w:val="006720CB"/>
    <w:rsid w:val="00683589"/>
    <w:rsid w:val="00692485"/>
    <w:rsid w:val="006A153B"/>
    <w:rsid w:val="006A6AA3"/>
    <w:rsid w:val="006B0487"/>
    <w:rsid w:val="006E677B"/>
    <w:rsid w:val="006F794B"/>
    <w:rsid w:val="0070118C"/>
    <w:rsid w:val="007144B5"/>
    <w:rsid w:val="007611A6"/>
    <w:rsid w:val="00777682"/>
    <w:rsid w:val="00791CE5"/>
    <w:rsid w:val="007D62BA"/>
    <w:rsid w:val="00807A4D"/>
    <w:rsid w:val="00812A13"/>
    <w:rsid w:val="00812D42"/>
    <w:rsid w:val="008302F1"/>
    <w:rsid w:val="0083575C"/>
    <w:rsid w:val="00844B83"/>
    <w:rsid w:val="008462DF"/>
    <w:rsid w:val="00850C9A"/>
    <w:rsid w:val="00865467"/>
    <w:rsid w:val="008751FB"/>
    <w:rsid w:val="008A0690"/>
    <w:rsid w:val="008A2A82"/>
    <w:rsid w:val="008C0ABD"/>
    <w:rsid w:val="008E3310"/>
    <w:rsid w:val="009162C6"/>
    <w:rsid w:val="009469A1"/>
    <w:rsid w:val="00954CFD"/>
    <w:rsid w:val="009622FC"/>
    <w:rsid w:val="009863C7"/>
    <w:rsid w:val="00987927"/>
    <w:rsid w:val="009A6211"/>
    <w:rsid w:val="009C01E2"/>
    <w:rsid w:val="009C5E2F"/>
    <w:rsid w:val="009D0A28"/>
    <w:rsid w:val="009D1866"/>
    <w:rsid w:val="00A056B9"/>
    <w:rsid w:val="00A07E2C"/>
    <w:rsid w:val="00A52DC5"/>
    <w:rsid w:val="00A63EA7"/>
    <w:rsid w:val="00AA1C43"/>
    <w:rsid w:val="00AA2E53"/>
    <w:rsid w:val="00AC45FB"/>
    <w:rsid w:val="00AE1FAD"/>
    <w:rsid w:val="00B06D33"/>
    <w:rsid w:val="00B1005B"/>
    <w:rsid w:val="00B474BC"/>
    <w:rsid w:val="00B64B08"/>
    <w:rsid w:val="00B815EC"/>
    <w:rsid w:val="00B95521"/>
    <w:rsid w:val="00B976EE"/>
    <w:rsid w:val="00BB2CE8"/>
    <w:rsid w:val="00BC41A9"/>
    <w:rsid w:val="00BF7712"/>
    <w:rsid w:val="00C24244"/>
    <w:rsid w:val="00C34E03"/>
    <w:rsid w:val="00C66D90"/>
    <w:rsid w:val="00C97EAA"/>
    <w:rsid w:val="00CE585D"/>
    <w:rsid w:val="00CF0F44"/>
    <w:rsid w:val="00D87F42"/>
    <w:rsid w:val="00DB5970"/>
    <w:rsid w:val="00DC7100"/>
    <w:rsid w:val="00DF6A46"/>
    <w:rsid w:val="00E178ED"/>
    <w:rsid w:val="00E23909"/>
    <w:rsid w:val="00E51CE2"/>
    <w:rsid w:val="00E95636"/>
    <w:rsid w:val="00EA1A68"/>
    <w:rsid w:val="00EA3D55"/>
    <w:rsid w:val="00EA7A7A"/>
    <w:rsid w:val="00EA7D94"/>
    <w:rsid w:val="00F35D66"/>
    <w:rsid w:val="00F36BAE"/>
    <w:rsid w:val="00F36EC4"/>
    <w:rsid w:val="00F97251"/>
    <w:rsid w:val="00FA0E9B"/>
    <w:rsid w:val="00FA2587"/>
    <w:rsid w:val="00FB020D"/>
    <w:rsid w:val="00FC5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BDF6D"/>
  <w15:chartTrackingRefBased/>
  <w15:docId w15:val="{F90E957D-B574-4EA2-BA61-23854690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B05"/>
    <w:pPr>
      <w:spacing w:after="3" w:line="247" w:lineRule="auto"/>
      <w:ind w:left="749" w:hanging="730"/>
    </w:pPr>
    <w:rPr>
      <w:rFonts w:ascii="Times New Roman" w:eastAsia="Times New Roman" w:hAnsi="Times New Roman" w:cs="Times New Roman"/>
      <w:color w:val="000000"/>
      <w:sz w:val="24"/>
      <w:lang w:val="en-IE" w:eastAsia="en-IE"/>
    </w:rPr>
  </w:style>
  <w:style w:type="paragraph" w:styleId="Heading1">
    <w:name w:val="heading 1"/>
    <w:basedOn w:val="Normal"/>
    <w:next w:val="Normal"/>
    <w:link w:val="Heading1Char"/>
    <w:uiPriority w:val="9"/>
    <w:qFormat/>
    <w:rsid w:val="00DC7100"/>
    <w:pPr>
      <w:keepNext/>
      <w:keepLines/>
      <w:spacing w:after="240" w:line="276" w:lineRule="auto"/>
      <w:ind w:left="0" w:firstLine="0"/>
      <w:outlineLvl w:val="0"/>
    </w:pPr>
    <w:rPr>
      <w:rFonts w:ascii="Arial" w:eastAsiaTheme="majorEastAsia" w:hAnsi="Arial" w:cstheme="majorBidi"/>
      <w:b/>
      <w:color w:val="auto"/>
      <w:sz w:val="32"/>
      <w:szCs w:val="32"/>
    </w:rPr>
  </w:style>
  <w:style w:type="paragraph" w:styleId="Heading2">
    <w:name w:val="heading 2"/>
    <w:basedOn w:val="Normal"/>
    <w:next w:val="Normal"/>
    <w:link w:val="Heading2Char"/>
    <w:uiPriority w:val="9"/>
    <w:unhideWhenUsed/>
    <w:qFormat/>
    <w:rsid w:val="00DC7100"/>
    <w:pPr>
      <w:keepNext/>
      <w:keepLines/>
      <w:spacing w:after="240" w:line="276" w:lineRule="auto"/>
      <w:ind w:left="0" w:firstLine="0"/>
      <w:outlineLvl w:val="1"/>
    </w:pPr>
    <w:rPr>
      <w:rFonts w:ascii="Arial" w:eastAsiaTheme="majorEastAsia" w:hAnsi="Arial" w:cstheme="majorBidi"/>
      <w:b/>
      <w:color w:val="auto"/>
      <w:sz w:val="28"/>
      <w:szCs w:val="26"/>
    </w:rPr>
  </w:style>
  <w:style w:type="paragraph" w:styleId="Heading3">
    <w:name w:val="heading 3"/>
    <w:basedOn w:val="Normal"/>
    <w:next w:val="Normal"/>
    <w:link w:val="Heading3Char"/>
    <w:uiPriority w:val="9"/>
    <w:unhideWhenUsed/>
    <w:qFormat/>
    <w:rsid w:val="00C34E03"/>
    <w:pPr>
      <w:keepNext/>
      <w:keepLines/>
      <w:numPr>
        <w:numId w:val="16"/>
      </w:numPr>
      <w:spacing w:after="0" w:line="276" w:lineRule="auto"/>
      <w:outlineLvl w:val="2"/>
    </w:pPr>
    <w:rPr>
      <w:rFonts w:ascii="Arial" w:eastAsiaTheme="majorEastAsia" w:hAnsi="Arial" w:cstheme="majorBidi"/>
      <w:b/>
      <w:color w:val="auto"/>
      <w:szCs w:val="24"/>
    </w:rPr>
  </w:style>
  <w:style w:type="paragraph" w:styleId="Heading4">
    <w:name w:val="heading 4"/>
    <w:basedOn w:val="Normal"/>
    <w:next w:val="Normal"/>
    <w:link w:val="Heading4Char"/>
    <w:uiPriority w:val="9"/>
    <w:unhideWhenUsed/>
    <w:qFormat/>
    <w:rsid w:val="00391E9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100"/>
    <w:rPr>
      <w:rFonts w:ascii="Arial" w:eastAsiaTheme="majorEastAsia" w:hAnsi="Arial" w:cstheme="majorBidi"/>
      <w:b/>
      <w:sz w:val="32"/>
      <w:szCs w:val="32"/>
      <w:lang w:val="en-IE" w:eastAsia="en-IE"/>
    </w:rPr>
  </w:style>
  <w:style w:type="character" w:customStyle="1" w:styleId="Heading2Char">
    <w:name w:val="Heading 2 Char"/>
    <w:basedOn w:val="DefaultParagraphFont"/>
    <w:link w:val="Heading2"/>
    <w:uiPriority w:val="9"/>
    <w:rsid w:val="00DC7100"/>
    <w:rPr>
      <w:rFonts w:ascii="Arial" w:eastAsiaTheme="majorEastAsia" w:hAnsi="Arial" w:cstheme="majorBidi"/>
      <w:b/>
      <w:sz w:val="28"/>
      <w:szCs w:val="26"/>
      <w:lang w:val="en-IE" w:eastAsia="en-IE"/>
    </w:rPr>
  </w:style>
  <w:style w:type="character" w:customStyle="1" w:styleId="Heading3Char">
    <w:name w:val="Heading 3 Char"/>
    <w:basedOn w:val="DefaultParagraphFont"/>
    <w:link w:val="Heading3"/>
    <w:uiPriority w:val="9"/>
    <w:rsid w:val="00C34E03"/>
    <w:rPr>
      <w:rFonts w:ascii="Arial" w:eastAsiaTheme="majorEastAsia" w:hAnsi="Arial" w:cstheme="majorBidi"/>
      <w:b/>
      <w:sz w:val="24"/>
      <w:szCs w:val="24"/>
      <w:lang w:val="en-IE" w:eastAsia="en-IE"/>
    </w:rPr>
  </w:style>
  <w:style w:type="paragraph" w:styleId="Title">
    <w:name w:val="Title"/>
    <w:basedOn w:val="Normal"/>
    <w:next w:val="Normal"/>
    <w:link w:val="TitleChar"/>
    <w:uiPriority w:val="10"/>
    <w:qFormat/>
    <w:rsid w:val="00BC41A9"/>
    <w:pPr>
      <w:spacing w:after="0"/>
      <w:contextualSpacing/>
      <w:jc w:val="center"/>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BC41A9"/>
    <w:rPr>
      <w:rFonts w:ascii="Arial" w:eastAsiaTheme="majorEastAsia" w:hAnsi="Arial" w:cstheme="majorBidi"/>
      <w:b/>
      <w:spacing w:val="-10"/>
      <w:kern w:val="28"/>
      <w:sz w:val="48"/>
      <w:szCs w:val="56"/>
    </w:rPr>
  </w:style>
  <w:style w:type="paragraph" w:styleId="FootnoteText">
    <w:name w:val="footnote text"/>
    <w:basedOn w:val="Normal"/>
    <w:link w:val="FootnoteTextChar"/>
    <w:uiPriority w:val="99"/>
    <w:semiHidden/>
    <w:unhideWhenUsed/>
    <w:rsid w:val="00EA1A68"/>
    <w:pPr>
      <w:spacing w:after="0"/>
    </w:pPr>
    <w:rPr>
      <w:sz w:val="20"/>
      <w:szCs w:val="20"/>
    </w:rPr>
  </w:style>
  <w:style w:type="character" w:customStyle="1" w:styleId="FootnoteTextChar">
    <w:name w:val="Footnote Text Char"/>
    <w:basedOn w:val="DefaultParagraphFont"/>
    <w:link w:val="FootnoteText"/>
    <w:uiPriority w:val="99"/>
    <w:semiHidden/>
    <w:rsid w:val="00EA1A68"/>
    <w:rPr>
      <w:rFonts w:ascii="Arial" w:hAnsi="Arial"/>
      <w:sz w:val="20"/>
      <w:szCs w:val="20"/>
    </w:rPr>
  </w:style>
  <w:style w:type="character" w:styleId="FootnoteReference">
    <w:name w:val="footnote reference"/>
    <w:basedOn w:val="DefaultParagraphFont"/>
    <w:uiPriority w:val="99"/>
    <w:semiHidden/>
    <w:unhideWhenUsed/>
    <w:rsid w:val="00EA1A68"/>
    <w:rPr>
      <w:vertAlign w:val="superscript"/>
    </w:rPr>
  </w:style>
  <w:style w:type="paragraph" w:styleId="ListParagraph">
    <w:name w:val="List Paragraph"/>
    <w:basedOn w:val="Normal"/>
    <w:uiPriority w:val="34"/>
    <w:qFormat/>
    <w:rsid w:val="00EA1A68"/>
    <w:pPr>
      <w:ind w:left="720"/>
      <w:contextualSpacing/>
    </w:pPr>
  </w:style>
  <w:style w:type="paragraph" w:styleId="Header">
    <w:name w:val="header"/>
    <w:basedOn w:val="Normal"/>
    <w:link w:val="HeaderChar"/>
    <w:uiPriority w:val="99"/>
    <w:unhideWhenUsed/>
    <w:rsid w:val="00EA1A68"/>
    <w:pPr>
      <w:tabs>
        <w:tab w:val="center" w:pos="4513"/>
        <w:tab w:val="right" w:pos="9026"/>
      </w:tabs>
      <w:spacing w:after="0"/>
    </w:pPr>
  </w:style>
  <w:style w:type="character" w:customStyle="1" w:styleId="HeaderChar">
    <w:name w:val="Header Char"/>
    <w:basedOn w:val="DefaultParagraphFont"/>
    <w:link w:val="Header"/>
    <w:uiPriority w:val="99"/>
    <w:rsid w:val="00EA1A68"/>
    <w:rPr>
      <w:rFonts w:ascii="Arial" w:hAnsi="Arial"/>
      <w:sz w:val="24"/>
    </w:rPr>
  </w:style>
  <w:style w:type="paragraph" w:styleId="Footer">
    <w:name w:val="footer"/>
    <w:basedOn w:val="Normal"/>
    <w:link w:val="FooterChar"/>
    <w:uiPriority w:val="99"/>
    <w:unhideWhenUsed/>
    <w:rsid w:val="00EA1A68"/>
    <w:pPr>
      <w:tabs>
        <w:tab w:val="center" w:pos="4513"/>
        <w:tab w:val="right" w:pos="9026"/>
      </w:tabs>
      <w:spacing w:after="0"/>
    </w:pPr>
  </w:style>
  <w:style w:type="character" w:customStyle="1" w:styleId="FooterChar">
    <w:name w:val="Footer Char"/>
    <w:basedOn w:val="DefaultParagraphFont"/>
    <w:link w:val="Footer"/>
    <w:uiPriority w:val="99"/>
    <w:rsid w:val="00EA1A68"/>
    <w:rPr>
      <w:rFonts w:ascii="Arial" w:hAnsi="Arial"/>
      <w:sz w:val="24"/>
    </w:rPr>
  </w:style>
  <w:style w:type="paragraph" w:styleId="Subtitle">
    <w:name w:val="Subtitle"/>
    <w:basedOn w:val="Normal"/>
    <w:next w:val="Normal"/>
    <w:link w:val="SubtitleChar"/>
    <w:uiPriority w:val="11"/>
    <w:qFormat/>
    <w:rsid w:val="00391E93"/>
    <w:pPr>
      <w:numPr>
        <w:ilvl w:val="1"/>
      </w:numPr>
      <w:spacing w:after="0"/>
      <w:ind w:left="749" w:hanging="730"/>
      <w:jc w:val="center"/>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391E93"/>
    <w:rPr>
      <w:rFonts w:ascii="Arial" w:eastAsiaTheme="minorEastAsia" w:hAnsi="Arial"/>
      <w:color w:val="5A5A5A" w:themeColor="text1" w:themeTint="A5"/>
      <w:spacing w:val="15"/>
      <w:sz w:val="32"/>
    </w:rPr>
  </w:style>
  <w:style w:type="character" w:customStyle="1" w:styleId="Heading4Char">
    <w:name w:val="Heading 4 Char"/>
    <w:basedOn w:val="DefaultParagraphFont"/>
    <w:link w:val="Heading4"/>
    <w:uiPriority w:val="9"/>
    <w:rsid w:val="00391E93"/>
    <w:rPr>
      <w:rFonts w:asciiTheme="majorHAnsi" w:eastAsiaTheme="majorEastAsia" w:hAnsiTheme="majorHAnsi" w:cstheme="majorBidi"/>
      <w:i/>
      <w:iCs/>
      <w:color w:val="365F91" w:themeColor="accent1" w:themeShade="BF"/>
      <w:sz w:val="24"/>
    </w:rPr>
  </w:style>
  <w:style w:type="paragraph" w:customStyle="1" w:styleId="Default">
    <w:name w:val="Default"/>
    <w:rsid w:val="00650B05"/>
    <w:pPr>
      <w:autoSpaceDE w:val="0"/>
      <w:autoSpaceDN w:val="0"/>
      <w:adjustRightInd w:val="0"/>
      <w:spacing w:after="0" w:line="240" w:lineRule="auto"/>
    </w:pPr>
    <w:rPr>
      <w:rFonts w:ascii="Arial" w:hAnsi="Arial" w:cs="Arial"/>
      <w:color w:val="000000"/>
      <w:sz w:val="24"/>
      <w:szCs w:val="24"/>
      <w:lang w:val="en-IE"/>
    </w:rPr>
  </w:style>
  <w:style w:type="table" w:styleId="TableGrid">
    <w:name w:val="Table Grid"/>
    <w:basedOn w:val="TableNormal"/>
    <w:uiPriority w:val="39"/>
    <w:rsid w:val="00650B05"/>
    <w:pPr>
      <w:spacing w:after="0" w:line="240" w:lineRule="auto"/>
    </w:pPr>
    <w:rPr>
      <w:rFonts w:eastAsiaTheme="minorEastAsia"/>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915E3"/>
    <w:pPr>
      <w:spacing w:after="0" w:line="240" w:lineRule="auto"/>
    </w:pPr>
    <w:rPr>
      <w:rFonts w:eastAsiaTheme="minorEastAsia"/>
      <w:lang w:val="en-IE" w:eastAsia="en-IE"/>
    </w:rPr>
    <w:tblPr>
      <w:tblCellMar>
        <w:top w:w="0" w:type="dxa"/>
        <w:left w:w="0" w:type="dxa"/>
        <w:bottom w:w="0" w:type="dxa"/>
        <w:right w:w="0" w:type="dxa"/>
      </w:tblCellMar>
    </w:tblPr>
  </w:style>
  <w:style w:type="paragraph" w:styleId="Revision">
    <w:name w:val="Revision"/>
    <w:hidden/>
    <w:uiPriority w:val="99"/>
    <w:semiHidden/>
    <w:rsid w:val="000B6D49"/>
    <w:pPr>
      <w:spacing w:after="0" w:line="240" w:lineRule="auto"/>
    </w:pPr>
    <w:rPr>
      <w:rFonts w:ascii="Times New Roman" w:eastAsia="Times New Roman" w:hAnsi="Times New Roman" w:cs="Times New Roman"/>
      <w:color w:val="000000"/>
      <w:sz w:val="24"/>
      <w:lang w:val="en-IE" w:eastAsia="en-IE"/>
    </w:rPr>
  </w:style>
  <w:style w:type="character" w:styleId="CommentReference">
    <w:name w:val="annotation reference"/>
    <w:basedOn w:val="DefaultParagraphFont"/>
    <w:uiPriority w:val="99"/>
    <w:semiHidden/>
    <w:unhideWhenUsed/>
    <w:rsid w:val="00BF7712"/>
    <w:rPr>
      <w:sz w:val="16"/>
      <w:szCs w:val="16"/>
    </w:rPr>
  </w:style>
  <w:style w:type="paragraph" w:styleId="CommentText">
    <w:name w:val="annotation text"/>
    <w:basedOn w:val="Normal"/>
    <w:link w:val="CommentTextChar"/>
    <w:uiPriority w:val="99"/>
    <w:unhideWhenUsed/>
    <w:rsid w:val="00BF7712"/>
    <w:pPr>
      <w:spacing w:line="240" w:lineRule="auto"/>
    </w:pPr>
    <w:rPr>
      <w:sz w:val="20"/>
      <w:szCs w:val="20"/>
    </w:rPr>
  </w:style>
  <w:style w:type="character" w:customStyle="1" w:styleId="CommentTextChar">
    <w:name w:val="Comment Text Char"/>
    <w:basedOn w:val="DefaultParagraphFont"/>
    <w:link w:val="CommentText"/>
    <w:uiPriority w:val="99"/>
    <w:rsid w:val="00BF7712"/>
    <w:rPr>
      <w:rFonts w:ascii="Times New Roman" w:eastAsia="Times New Roman" w:hAnsi="Times New Roman" w:cs="Times New Roman"/>
      <w:color w:val="000000"/>
      <w:sz w:val="20"/>
      <w:szCs w:val="20"/>
      <w:lang w:val="en-IE" w:eastAsia="en-IE"/>
    </w:rPr>
  </w:style>
  <w:style w:type="paragraph" w:styleId="CommentSubject">
    <w:name w:val="annotation subject"/>
    <w:basedOn w:val="CommentText"/>
    <w:next w:val="CommentText"/>
    <w:link w:val="CommentSubjectChar"/>
    <w:uiPriority w:val="99"/>
    <w:semiHidden/>
    <w:unhideWhenUsed/>
    <w:rsid w:val="00BF7712"/>
    <w:rPr>
      <w:b/>
      <w:bCs/>
    </w:rPr>
  </w:style>
  <w:style w:type="character" w:customStyle="1" w:styleId="CommentSubjectChar">
    <w:name w:val="Comment Subject Char"/>
    <w:basedOn w:val="CommentTextChar"/>
    <w:link w:val="CommentSubject"/>
    <w:uiPriority w:val="99"/>
    <w:semiHidden/>
    <w:rsid w:val="00BF7712"/>
    <w:rPr>
      <w:rFonts w:ascii="Times New Roman" w:eastAsia="Times New Roman" w:hAnsi="Times New Roman" w:cs="Times New Roman"/>
      <w:b/>
      <w:bCs/>
      <w:color w:val="000000"/>
      <w:sz w:val="20"/>
      <w:szCs w:val="20"/>
      <w:lang w:val="en-IE" w:eastAsia="en-IE"/>
    </w:rPr>
  </w:style>
  <w:style w:type="paragraph" w:styleId="TOC1">
    <w:name w:val="toc 1"/>
    <w:basedOn w:val="Normal"/>
    <w:next w:val="Normal"/>
    <w:autoRedefine/>
    <w:uiPriority w:val="39"/>
    <w:unhideWhenUsed/>
    <w:rsid w:val="009622FC"/>
    <w:pPr>
      <w:spacing w:after="100"/>
      <w:ind w:left="0"/>
    </w:pPr>
  </w:style>
  <w:style w:type="character" w:styleId="Hyperlink">
    <w:name w:val="Hyperlink"/>
    <w:basedOn w:val="DefaultParagraphFont"/>
    <w:uiPriority w:val="99"/>
    <w:unhideWhenUsed/>
    <w:rsid w:val="009622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A7E66-A673-4C77-92B5-0425AE34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Pensions Authority</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Robinson (Pensions Authority)</dc:creator>
  <cp:keywords/>
  <dc:description/>
  <cp:lastModifiedBy>Aideen Bugler (Pensions Authority)</cp:lastModifiedBy>
  <cp:revision>3</cp:revision>
  <cp:lastPrinted>2024-10-24T09:31:00Z</cp:lastPrinted>
  <dcterms:created xsi:type="dcterms:W3CDTF">2026-04-22T15:23:00Z</dcterms:created>
  <dcterms:modified xsi:type="dcterms:W3CDTF">2026-04-22T15:28:00Z</dcterms:modified>
</cp:coreProperties>
</file>