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6AFD" w14:textId="2E32107A" w:rsidR="00E63ABE" w:rsidRPr="00BB4062" w:rsidRDefault="00E63ABE" w:rsidP="007F557B">
      <w:pPr>
        <w:tabs>
          <w:tab w:val="left" w:pos="2280"/>
        </w:tabs>
        <w:spacing w:after="240" w:line="276" w:lineRule="auto"/>
        <w:rPr>
          <w:rFonts w:cs="Arial"/>
        </w:rPr>
      </w:pPr>
      <w:bookmarkStart w:id="0" w:name="_Hlk89786446"/>
    </w:p>
    <w:p w14:paraId="0AF58208" w14:textId="76EBD430" w:rsidR="00E63ABE" w:rsidRPr="00BB4062" w:rsidRDefault="00E63ABE" w:rsidP="007F557B">
      <w:pPr>
        <w:spacing w:after="240" w:line="276" w:lineRule="auto"/>
        <w:ind w:left="357"/>
        <w:jc w:val="both"/>
        <w:rPr>
          <w:rFonts w:cs="Arial"/>
        </w:rPr>
      </w:pPr>
      <w:r w:rsidRPr="00BB4062">
        <w:rPr>
          <w:rFonts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CEB2E" wp14:editId="3344C60D">
                <wp:simplePos x="0" y="0"/>
                <wp:positionH relativeFrom="column">
                  <wp:posOffset>-640081</wp:posOffset>
                </wp:positionH>
                <wp:positionV relativeFrom="paragraph">
                  <wp:posOffset>462280</wp:posOffset>
                </wp:positionV>
                <wp:extent cx="7286625" cy="3238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2866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486D5" w14:textId="1F952DF0" w:rsidR="005F5A11" w:rsidRPr="004A133E" w:rsidRDefault="005F5A11" w:rsidP="00F767E1">
                            <w:pPr>
                              <w:rPr>
                                <w:rFonts w:cs="Arial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CEB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4pt;margin-top:36.4pt;width:573.75pt;height:2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" filled="f" stroked="f">
                <v:textbox>
                  <w:txbxContent>
                    <w:p w14:paraId="4D9486D5" w14:textId="1F952DF0" w:rsidR="005F5A11" w:rsidRPr="004A133E" w:rsidRDefault="005F5A11" w:rsidP="00F767E1">
                      <w:pPr>
                        <w:rPr>
                          <w:rFonts w:cs="Arial"/>
                          <w:b/>
                          <w:bCs/>
                          <w:color w:val="1F497D" w:themeColor="text2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07A364" w14:textId="77777777" w:rsidR="00E63ABE" w:rsidRDefault="00E63ABE" w:rsidP="007F557B">
      <w:pPr>
        <w:spacing w:after="240" w:line="276" w:lineRule="auto"/>
        <w:rPr>
          <w:rFonts w:ascii="Helvetica" w:hAnsi="Helvetica"/>
          <w:sz w:val="72"/>
          <w:szCs w:val="72"/>
        </w:rPr>
      </w:pPr>
    </w:p>
    <w:p w14:paraId="2E2D10E2" w14:textId="77777777" w:rsidR="005A028D" w:rsidRPr="007D6CFF" w:rsidRDefault="005A028D" w:rsidP="007F557B">
      <w:pPr>
        <w:spacing w:after="240" w:line="276" w:lineRule="auto"/>
        <w:rPr>
          <w:rFonts w:ascii="Helvetica" w:hAnsi="Helvetica"/>
          <w:sz w:val="72"/>
          <w:szCs w:val="72"/>
        </w:rPr>
      </w:pPr>
    </w:p>
    <w:p w14:paraId="1502766E" w14:textId="77777777" w:rsidR="005A028D" w:rsidRDefault="005A028D" w:rsidP="005A028D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</w:p>
    <w:p w14:paraId="538F5035" w14:textId="02FE26B4" w:rsidR="00E63ABE" w:rsidRPr="007D6CFF" w:rsidRDefault="00E63ABE" w:rsidP="00FA43A9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  <w:r w:rsidRPr="007D6CFF">
        <w:rPr>
          <w:rFonts w:cs="Arial"/>
          <w:b/>
          <w:bCs/>
          <w:sz w:val="48"/>
          <w:szCs w:val="48"/>
        </w:rPr>
        <w:t>Own</w:t>
      </w:r>
      <w:r w:rsidR="0078062D">
        <w:rPr>
          <w:rFonts w:cs="Arial"/>
          <w:b/>
          <w:bCs/>
          <w:sz w:val="48"/>
          <w:szCs w:val="48"/>
        </w:rPr>
        <w:t>-r</w:t>
      </w:r>
      <w:r w:rsidRPr="007D6CFF">
        <w:rPr>
          <w:rFonts w:cs="Arial"/>
          <w:b/>
          <w:bCs/>
          <w:sz w:val="48"/>
          <w:szCs w:val="48"/>
        </w:rPr>
        <w:t xml:space="preserve">isk </w:t>
      </w:r>
      <w:r w:rsidR="00F2161F">
        <w:rPr>
          <w:rFonts w:cs="Arial"/>
          <w:b/>
          <w:bCs/>
          <w:sz w:val="48"/>
          <w:szCs w:val="48"/>
        </w:rPr>
        <w:t>a</w:t>
      </w:r>
      <w:r w:rsidRPr="007D6CFF">
        <w:rPr>
          <w:rFonts w:cs="Arial"/>
          <w:b/>
          <w:bCs/>
          <w:sz w:val="48"/>
          <w:szCs w:val="48"/>
        </w:rPr>
        <w:t>ssessment</w:t>
      </w:r>
    </w:p>
    <w:p w14:paraId="3C04EF79" w14:textId="64DBE182" w:rsidR="00E63ABE" w:rsidRPr="007D6CFF" w:rsidRDefault="00F2161F" w:rsidP="00FA43A9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  <w:r>
        <w:rPr>
          <w:rFonts w:cs="Arial"/>
          <w:b/>
          <w:bCs/>
          <w:sz w:val="48"/>
          <w:szCs w:val="48"/>
        </w:rPr>
        <w:t>g</w:t>
      </w:r>
      <w:r w:rsidR="00E63ABE" w:rsidRPr="007D6CFF">
        <w:rPr>
          <w:rFonts w:cs="Arial"/>
          <w:b/>
          <w:bCs/>
          <w:sz w:val="48"/>
          <w:szCs w:val="48"/>
        </w:rPr>
        <w:t>uidance</w:t>
      </w:r>
      <w:r w:rsidR="0042644C">
        <w:rPr>
          <w:rFonts w:cs="Arial"/>
          <w:b/>
          <w:bCs/>
          <w:sz w:val="48"/>
          <w:szCs w:val="48"/>
        </w:rPr>
        <w:t xml:space="preserve"> </w:t>
      </w:r>
      <w:r w:rsidR="00E63ABE" w:rsidRPr="007D6CFF">
        <w:rPr>
          <w:rFonts w:cs="Arial"/>
          <w:b/>
          <w:bCs/>
          <w:sz w:val="48"/>
          <w:szCs w:val="48"/>
        </w:rPr>
        <w:t>for trustees</w:t>
      </w:r>
    </w:p>
    <w:p w14:paraId="2463D637" w14:textId="77777777" w:rsidR="00E63ABE" w:rsidRDefault="00E63ABE" w:rsidP="007F557B">
      <w:pPr>
        <w:spacing w:after="240" w:line="276" w:lineRule="auto"/>
        <w:jc w:val="center"/>
        <w:rPr>
          <w:rFonts w:cs="Arial"/>
          <w:b/>
          <w:bCs/>
          <w:sz w:val="48"/>
          <w:szCs w:val="48"/>
        </w:rPr>
      </w:pPr>
    </w:p>
    <w:p w14:paraId="688E2287" w14:textId="77777777" w:rsidR="005A028D" w:rsidRDefault="005A028D" w:rsidP="007F557B">
      <w:pPr>
        <w:spacing w:after="240" w:line="276" w:lineRule="auto"/>
        <w:jc w:val="center"/>
        <w:rPr>
          <w:rFonts w:cs="Arial"/>
          <w:b/>
          <w:bCs/>
          <w:sz w:val="48"/>
          <w:szCs w:val="48"/>
        </w:rPr>
      </w:pPr>
    </w:p>
    <w:p w14:paraId="2F834810" w14:textId="77777777" w:rsidR="005A028D" w:rsidRDefault="005A028D" w:rsidP="007F557B">
      <w:pPr>
        <w:spacing w:after="240" w:line="276" w:lineRule="auto"/>
        <w:jc w:val="center"/>
        <w:rPr>
          <w:rFonts w:cs="Arial"/>
          <w:b/>
          <w:bCs/>
          <w:sz w:val="48"/>
          <w:szCs w:val="48"/>
        </w:rPr>
      </w:pPr>
    </w:p>
    <w:p w14:paraId="5A75ADA4" w14:textId="77777777" w:rsidR="005A028D" w:rsidRDefault="005A028D" w:rsidP="007F557B">
      <w:pPr>
        <w:spacing w:after="240" w:line="276" w:lineRule="auto"/>
        <w:jc w:val="center"/>
        <w:rPr>
          <w:rFonts w:cs="Arial"/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5A028D" w14:paraId="37DD08FC" w14:textId="77777777" w:rsidTr="005A028D">
        <w:tc>
          <w:tcPr>
            <w:tcW w:w="8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6C390" w14:textId="77777777" w:rsidR="005A028D" w:rsidRDefault="005A028D" w:rsidP="005A028D">
            <w:pPr>
              <w:spacing w:line="276" w:lineRule="auto"/>
              <w:ind w:left="164" w:right="169"/>
              <w:jc w:val="both"/>
              <w:rPr>
                <w:rFonts w:cs="Arial"/>
                <w:b/>
                <w:iCs/>
              </w:rPr>
            </w:pPr>
          </w:p>
          <w:p w14:paraId="3553B1DF" w14:textId="188B541E" w:rsidR="005A028D" w:rsidRPr="00535A3C" w:rsidRDefault="005A028D" w:rsidP="005A028D">
            <w:pPr>
              <w:spacing w:line="276" w:lineRule="auto"/>
              <w:ind w:left="164" w:right="169"/>
              <w:jc w:val="both"/>
              <w:rPr>
                <w:rFonts w:cs="Arial"/>
                <w:b/>
                <w:iCs/>
              </w:rPr>
            </w:pPr>
            <w:r w:rsidRPr="00535A3C">
              <w:rPr>
                <w:rFonts w:cs="Arial"/>
                <w:b/>
                <w:iCs/>
              </w:rPr>
              <w:t>Disclaimer</w:t>
            </w:r>
          </w:p>
          <w:p w14:paraId="66DB827D" w14:textId="77777777" w:rsidR="005A028D" w:rsidRDefault="005A028D" w:rsidP="005A028D">
            <w:pPr>
              <w:spacing w:line="276" w:lineRule="auto"/>
              <w:ind w:left="164" w:right="169"/>
              <w:jc w:val="both"/>
              <w:rPr>
                <w:rFonts w:cs="Arial"/>
                <w:iCs/>
              </w:rPr>
            </w:pPr>
          </w:p>
          <w:p w14:paraId="468AF539" w14:textId="77777777" w:rsidR="005A028D" w:rsidRDefault="005A028D" w:rsidP="005A028D">
            <w:pPr>
              <w:spacing w:line="276" w:lineRule="auto"/>
              <w:ind w:left="164" w:right="169"/>
              <w:jc w:val="both"/>
              <w:rPr>
                <w:rFonts w:cs="Arial"/>
                <w:iCs/>
              </w:rPr>
            </w:pPr>
            <w:r w:rsidRPr="008E145F">
              <w:rPr>
                <w:rFonts w:cs="Arial"/>
                <w:iCs/>
              </w:rPr>
              <w:t xml:space="preserve">The Pensions Authority have made every effort to ensure that this </w:t>
            </w:r>
            <w:r>
              <w:rPr>
                <w:rFonts w:cs="Arial"/>
                <w:iCs/>
              </w:rPr>
              <w:t xml:space="preserve">document </w:t>
            </w:r>
            <w:r w:rsidRPr="008E145F">
              <w:rPr>
                <w:rFonts w:cs="Arial"/>
                <w:iCs/>
              </w:rPr>
              <w:t xml:space="preserve">is correct. However, no liability whatsoever is accepted by the Pensions Authority, its servants or agents for any errors or omissions in the information contained in this </w:t>
            </w:r>
            <w:r>
              <w:rPr>
                <w:rFonts w:cs="Arial"/>
                <w:iCs/>
              </w:rPr>
              <w:t>document</w:t>
            </w:r>
            <w:r w:rsidRPr="008E145F">
              <w:rPr>
                <w:rFonts w:cs="Arial"/>
                <w:iCs/>
              </w:rPr>
              <w:t xml:space="preserve"> or for any loss occasioned to any person acting or refraining from acting </w:t>
            </w:r>
            <w:proofErr w:type="gramStart"/>
            <w:r w:rsidRPr="008E145F">
              <w:rPr>
                <w:rFonts w:cs="Arial"/>
                <w:iCs/>
              </w:rPr>
              <w:t>as a result of</w:t>
            </w:r>
            <w:proofErr w:type="gramEnd"/>
            <w:r w:rsidRPr="008E145F">
              <w:rPr>
                <w:rFonts w:cs="Arial"/>
                <w:iCs/>
              </w:rPr>
              <w:t xml:space="preserve"> the information in this </w:t>
            </w:r>
            <w:r>
              <w:rPr>
                <w:rFonts w:cs="Arial"/>
                <w:iCs/>
              </w:rPr>
              <w:t>document</w:t>
            </w:r>
            <w:r w:rsidRPr="008E145F">
              <w:rPr>
                <w:rFonts w:cs="Arial"/>
                <w:iCs/>
              </w:rPr>
              <w:t>.</w:t>
            </w:r>
          </w:p>
          <w:p w14:paraId="7C5A863F" w14:textId="2EAF4B6A" w:rsidR="005A028D" w:rsidRPr="005A028D" w:rsidRDefault="005A028D" w:rsidP="005A028D">
            <w:pPr>
              <w:spacing w:line="276" w:lineRule="auto"/>
              <w:ind w:left="164" w:right="169"/>
              <w:jc w:val="both"/>
              <w:rPr>
                <w:rFonts w:cs="Arial"/>
              </w:rPr>
            </w:pPr>
          </w:p>
        </w:tc>
      </w:tr>
    </w:tbl>
    <w:p w14:paraId="3F5393CC" w14:textId="77777777" w:rsidR="005A028D" w:rsidRPr="007D6CFF" w:rsidRDefault="005A028D" w:rsidP="007F557B">
      <w:pPr>
        <w:spacing w:after="240" w:line="276" w:lineRule="auto"/>
        <w:jc w:val="center"/>
        <w:rPr>
          <w:rFonts w:cs="Arial"/>
          <w:b/>
          <w:bCs/>
          <w:sz w:val="48"/>
          <w:szCs w:val="48"/>
        </w:rPr>
      </w:pPr>
    </w:p>
    <w:p w14:paraId="18650851" w14:textId="33D8AFE2" w:rsidR="00E66941" w:rsidRDefault="00E66941" w:rsidP="007F557B">
      <w:pPr>
        <w:spacing w:after="240" w:line="276" w:lineRule="auto"/>
        <w:jc w:val="both"/>
        <w:rPr>
          <w:rFonts w:cs="Arial"/>
          <w:b/>
          <w:bCs/>
          <w:sz w:val="28"/>
          <w:szCs w:val="28"/>
        </w:rPr>
        <w:sectPr w:rsidR="00E66941" w:rsidSect="00E63AB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4CB29790" w14:textId="77777777" w:rsidR="008D48B3" w:rsidRDefault="008D48B3" w:rsidP="00BC14ED">
      <w:pPr>
        <w:spacing w:line="276" w:lineRule="auto"/>
        <w:jc w:val="both"/>
        <w:rPr>
          <w:rFonts w:cs="Arial"/>
          <w:b/>
          <w:bCs/>
          <w:sz w:val="28"/>
          <w:szCs w:val="28"/>
        </w:rPr>
      </w:pPr>
      <w:r w:rsidRPr="00BB4062">
        <w:rPr>
          <w:rFonts w:cs="Arial"/>
          <w:b/>
          <w:bCs/>
          <w:sz w:val="28"/>
          <w:szCs w:val="28"/>
        </w:rPr>
        <w:lastRenderedPageBreak/>
        <w:t>Table of contents</w:t>
      </w:r>
    </w:p>
    <w:p w14:paraId="2699DCF4" w14:textId="77777777" w:rsidR="00BC14ED" w:rsidRPr="00BC14ED" w:rsidRDefault="00BC14ED" w:rsidP="00BC14ED">
      <w:pPr>
        <w:spacing w:line="276" w:lineRule="auto"/>
        <w:jc w:val="both"/>
        <w:rPr>
          <w:rFonts w:cs="Arial"/>
          <w:b/>
          <w:bCs/>
        </w:rPr>
      </w:pPr>
    </w:p>
    <w:p w14:paraId="61263C2C" w14:textId="5FC5F176" w:rsidR="00BC14ED" w:rsidRPr="00BC14ED" w:rsidRDefault="00BC14ED">
      <w:pPr>
        <w:pStyle w:val="TOC1"/>
        <w:rPr>
          <w:rFonts w:asciiTheme="minorHAnsi" w:hAnsiTheme="minorHAnsi" w:cstheme="minorBidi"/>
          <w:noProof/>
          <w:kern w:val="2"/>
          <w:sz w:val="24"/>
          <w:szCs w:val="24"/>
          <w:lang w:eastAsia="en-IE"/>
          <w14:ligatures w14:val="standardContextual"/>
        </w:rPr>
      </w:pPr>
      <w:r w:rsidRPr="00BC14ED">
        <w:rPr>
          <w:b/>
          <w:bCs/>
          <w:sz w:val="24"/>
          <w:szCs w:val="24"/>
        </w:rPr>
        <w:fldChar w:fldCharType="begin"/>
      </w:r>
      <w:r w:rsidRPr="00BC14ED">
        <w:rPr>
          <w:b/>
          <w:bCs/>
          <w:sz w:val="24"/>
          <w:szCs w:val="24"/>
        </w:rPr>
        <w:instrText xml:space="preserve"> TOC \o "1-3" \h \z \u </w:instrText>
      </w:r>
      <w:r w:rsidRPr="00BC14ED">
        <w:rPr>
          <w:b/>
          <w:bCs/>
          <w:sz w:val="24"/>
          <w:szCs w:val="24"/>
        </w:rPr>
        <w:fldChar w:fldCharType="separate"/>
      </w:r>
      <w:hyperlink w:anchor="_Toc147833567" w:history="1">
        <w:r w:rsidRPr="00BC14ED">
          <w:rPr>
            <w:rStyle w:val="Hyperlink"/>
            <w:noProof/>
            <w:sz w:val="24"/>
            <w:szCs w:val="24"/>
          </w:rPr>
          <w:t>1.</w:t>
        </w:r>
        <w:r w:rsidRPr="00BC14ED">
          <w:rPr>
            <w:rFonts w:asciiTheme="minorHAnsi" w:hAnsiTheme="minorHAnsi" w:cstheme="minorBidi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BC14ED">
          <w:rPr>
            <w:rStyle w:val="Hyperlink"/>
            <w:noProof/>
            <w:sz w:val="24"/>
            <w:szCs w:val="24"/>
          </w:rPr>
          <w:t>Introduction</w:t>
        </w:r>
        <w:r w:rsidRPr="00BC14ED">
          <w:rPr>
            <w:noProof/>
            <w:webHidden/>
            <w:sz w:val="24"/>
            <w:szCs w:val="24"/>
          </w:rPr>
          <w:tab/>
        </w:r>
        <w:r w:rsidRPr="00BC14ED">
          <w:rPr>
            <w:noProof/>
            <w:webHidden/>
            <w:sz w:val="24"/>
            <w:szCs w:val="24"/>
          </w:rPr>
          <w:fldChar w:fldCharType="begin"/>
        </w:r>
        <w:r w:rsidRPr="00BC14ED">
          <w:rPr>
            <w:noProof/>
            <w:webHidden/>
            <w:sz w:val="24"/>
            <w:szCs w:val="24"/>
          </w:rPr>
          <w:instrText xml:space="preserve"> PAGEREF _Toc147833567 \h </w:instrText>
        </w:r>
        <w:r w:rsidRPr="00BC14ED">
          <w:rPr>
            <w:noProof/>
            <w:webHidden/>
            <w:sz w:val="24"/>
            <w:szCs w:val="24"/>
          </w:rPr>
        </w:r>
        <w:r w:rsidRPr="00BC14ED">
          <w:rPr>
            <w:noProof/>
            <w:webHidden/>
            <w:sz w:val="24"/>
            <w:szCs w:val="24"/>
          </w:rPr>
          <w:fldChar w:fldCharType="separate"/>
        </w:r>
        <w:r w:rsidR="00CE3537">
          <w:rPr>
            <w:noProof/>
            <w:webHidden/>
            <w:sz w:val="24"/>
            <w:szCs w:val="24"/>
          </w:rPr>
          <w:t>3</w:t>
        </w:r>
        <w:r w:rsidRPr="00BC14ED">
          <w:rPr>
            <w:noProof/>
            <w:webHidden/>
            <w:sz w:val="24"/>
            <w:szCs w:val="24"/>
          </w:rPr>
          <w:fldChar w:fldCharType="end"/>
        </w:r>
      </w:hyperlink>
    </w:p>
    <w:p w14:paraId="12DF440C" w14:textId="7A441109" w:rsidR="00BC14ED" w:rsidRPr="00BC14ED" w:rsidRDefault="00BC14ED">
      <w:pPr>
        <w:pStyle w:val="TOC1"/>
        <w:rPr>
          <w:rFonts w:asciiTheme="minorHAnsi" w:hAnsiTheme="minorHAnsi" w:cstheme="minorBidi"/>
          <w:noProof/>
          <w:kern w:val="2"/>
          <w:sz w:val="24"/>
          <w:szCs w:val="24"/>
          <w:lang w:eastAsia="en-IE"/>
          <w14:ligatures w14:val="standardContextual"/>
        </w:rPr>
      </w:pPr>
      <w:hyperlink w:anchor="_Toc147833568" w:history="1">
        <w:r w:rsidRPr="00BC14ED">
          <w:rPr>
            <w:rStyle w:val="Hyperlink"/>
            <w:noProof/>
            <w:sz w:val="24"/>
            <w:szCs w:val="24"/>
          </w:rPr>
          <w:t>2.</w:t>
        </w:r>
        <w:r w:rsidRPr="00BC14ED">
          <w:rPr>
            <w:rFonts w:asciiTheme="minorHAnsi" w:hAnsiTheme="minorHAnsi" w:cstheme="minorBidi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BC14ED">
          <w:rPr>
            <w:rStyle w:val="Hyperlink"/>
            <w:noProof/>
            <w:sz w:val="24"/>
            <w:szCs w:val="24"/>
          </w:rPr>
          <w:t>Purpose of the ORA</w:t>
        </w:r>
        <w:r w:rsidRPr="00BC14ED">
          <w:rPr>
            <w:noProof/>
            <w:webHidden/>
            <w:sz w:val="24"/>
            <w:szCs w:val="24"/>
          </w:rPr>
          <w:tab/>
        </w:r>
        <w:r w:rsidRPr="00BC14ED">
          <w:rPr>
            <w:noProof/>
            <w:webHidden/>
            <w:sz w:val="24"/>
            <w:szCs w:val="24"/>
          </w:rPr>
          <w:fldChar w:fldCharType="begin"/>
        </w:r>
        <w:r w:rsidRPr="00BC14ED">
          <w:rPr>
            <w:noProof/>
            <w:webHidden/>
            <w:sz w:val="24"/>
            <w:szCs w:val="24"/>
          </w:rPr>
          <w:instrText xml:space="preserve"> PAGEREF _Toc147833568 \h </w:instrText>
        </w:r>
        <w:r w:rsidRPr="00BC14ED">
          <w:rPr>
            <w:noProof/>
            <w:webHidden/>
            <w:sz w:val="24"/>
            <w:szCs w:val="24"/>
          </w:rPr>
        </w:r>
        <w:r w:rsidRPr="00BC14ED">
          <w:rPr>
            <w:noProof/>
            <w:webHidden/>
            <w:sz w:val="24"/>
            <w:szCs w:val="24"/>
          </w:rPr>
          <w:fldChar w:fldCharType="separate"/>
        </w:r>
        <w:r w:rsidR="00CE3537">
          <w:rPr>
            <w:noProof/>
            <w:webHidden/>
            <w:sz w:val="24"/>
            <w:szCs w:val="24"/>
          </w:rPr>
          <w:t>3</w:t>
        </w:r>
        <w:r w:rsidRPr="00BC14ED">
          <w:rPr>
            <w:noProof/>
            <w:webHidden/>
            <w:sz w:val="24"/>
            <w:szCs w:val="24"/>
          </w:rPr>
          <w:fldChar w:fldCharType="end"/>
        </w:r>
      </w:hyperlink>
    </w:p>
    <w:p w14:paraId="1A422E98" w14:textId="7F924163" w:rsidR="00BC14ED" w:rsidRPr="00BC14ED" w:rsidRDefault="00BC14ED">
      <w:pPr>
        <w:pStyle w:val="TOC1"/>
        <w:rPr>
          <w:rFonts w:asciiTheme="minorHAnsi" w:hAnsiTheme="minorHAnsi" w:cstheme="minorBidi"/>
          <w:noProof/>
          <w:kern w:val="2"/>
          <w:sz w:val="24"/>
          <w:szCs w:val="24"/>
          <w:lang w:eastAsia="en-IE"/>
          <w14:ligatures w14:val="standardContextual"/>
        </w:rPr>
      </w:pPr>
      <w:hyperlink w:anchor="_Toc147833569" w:history="1">
        <w:r w:rsidRPr="00BC14ED">
          <w:rPr>
            <w:rStyle w:val="Hyperlink"/>
            <w:noProof/>
            <w:sz w:val="24"/>
            <w:szCs w:val="24"/>
          </w:rPr>
          <w:t>3.</w:t>
        </w:r>
        <w:r w:rsidRPr="00BC14ED">
          <w:rPr>
            <w:rFonts w:asciiTheme="minorHAnsi" w:hAnsiTheme="minorHAnsi" w:cstheme="minorBidi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BC14ED">
          <w:rPr>
            <w:rStyle w:val="Hyperlink"/>
            <w:noProof/>
            <w:sz w:val="24"/>
            <w:szCs w:val="24"/>
          </w:rPr>
          <w:t>Responsibility</w:t>
        </w:r>
        <w:r w:rsidRPr="00BC14ED">
          <w:rPr>
            <w:noProof/>
            <w:webHidden/>
            <w:sz w:val="24"/>
            <w:szCs w:val="24"/>
          </w:rPr>
          <w:tab/>
        </w:r>
        <w:r w:rsidRPr="00BC14ED">
          <w:rPr>
            <w:noProof/>
            <w:webHidden/>
            <w:sz w:val="24"/>
            <w:szCs w:val="24"/>
          </w:rPr>
          <w:fldChar w:fldCharType="begin"/>
        </w:r>
        <w:r w:rsidRPr="00BC14ED">
          <w:rPr>
            <w:noProof/>
            <w:webHidden/>
            <w:sz w:val="24"/>
            <w:szCs w:val="24"/>
          </w:rPr>
          <w:instrText xml:space="preserve"> PAGEREF _Toc147833569 \h </w:instrText>
        </w:r>
        <w:r w:rsidRPr="00BC14ED">
          <w:rPr>
            <w:noProof/>
            <w:webHidden/>
            <w:sz w:val="24"/>
            <w:szCs w:val="24"/>
          </w:rPr>
        </w:r>
        <w:r w:rsidRPr="00BC14ED">
          <w:rPr>
            <w:noProof/>
            <w:webHidden/>
            <w:sz w:val="24"/>
            <w:szCs w:val="24"/>
          </w:rPr>
          <w:fldChar w:fldCharType="separate"/>
        </w:r>
        <w:r w:rsidR="00CE3537">
          <w:rPr>
            <w:noProof/>
            <w:webHidden/>
            <w:sz w:val="24"/>
            <w:szCs w:val="24"/>
          </w:rPr>
          <w:t>3</w:t>
        </w:r>
        <w:r w:rsidRPr="00BC14ED">
          <w:rPr>
            <w:noProof/>
            <w:webHidden/>
            <w:sz w:val="24"/>
            <w:szCs w:val="24"/>
          </w:rPr>
          <w:fldChar w:fldCharType="end"/>
        </w:r>
      </w:hyperlink>
    </w:p>
    <w:p w14:paraId="6C7B80A9" w14:textId="38F12881" w:rsidR="00BC14ED" w:rsidRPr="00BC14ED" w:rsidRDefault="00BC14ED">
      <w:pPr>
        <w:pStyle w:val="TOC1"/>
        <w:rPr>
          <w:rFonts w:asciiTheme="minorHAnsi" w:hAnsiTheme="minorHAnsi" w:cstheme="minorBidi"/>
          <w:noProof/>
          <w:kern w:val="2"/>
          <w:sz w:val="24"/>
          <w:szCs w:val="24"/>
          <w:lang w:eastAsia="en-IE"/>
          <w14:ligatures w14:val="standardContextual"/>
        </w:rPr>
      </w:pPr>
      <w:hyperlink w:anchor="_Toc147833572" w:history="1">
        <w:r w:rsidRPr="00BC14ED">
          <w:rPr>
            <w:rStyle w:val="Hyperlink"/>
            <w:noProof/>
            <w:sz w:val="24"/>
            <w:szCs w:val="24"/>
          </w:rPr>
          <w:t>4.</w:t>
        </w:r>
        <w:r w:rsidRPr="00BC14ED">
          <w:rPr>
            <w:rFonts w:asciiTheme="minorHAnsi" w:hAnsiTheme="minorHAnsi" w:cstheme="minorBidi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BC14ED">
          <w:rPr>
            <w:rStyle w:val="Hyperlink"/>
            <w:noProof/>
            <w:sz w:val="24"/>
            <w:szCs w:val="24"/>
          </w:rPr>
          <w:t>Process</w:t>
        </w:r>
        <w:r w:rsidRPr="00BC14ED">
          <w:rPr>
            <w:noProof/>
            <w:webHidden/>
            <w:sz w:val="24"/>
            <w:szCs w:val="24"/>
          </w:rPr>
          <w:tab/>
        </w:r>
        <w:r w:rsidRPr="00BC14ED">
          <w:rPr>
            <w:noProof/>
            <w:webHidden/>
            <w:sz w:val="24"/>
            <w:szCs w:val="24"/>
          </w:rPr>
          <w:fldChar w:fldCharType="begin"/>
        </w:r>
        <w:r w:rsidRPr="00BC14ED">
          <w:rPr>
            <w:noProof/>
            <w:webHidden/>
            <w:sz w:val="24"/>
            <w:szCs w:val="24"/>
          </w:rPr>
          <w:instrText xml:space="preserve"> PAGEREF _Toc147833572 \h </w:instrText>
        </w:r>
        <w:r w:rsidRPr="00BC14ED">
          <w:rPr>
            <w:noProof/>
            <w:webHidden/>
            <w:sz w:val="24"/>
            <w:szCs w:val="24"/>
          </w:rPr>
        </w:r>
        <w:r w:rsidRPr="00BC14ED">
          <w:rPr>
            <w:noProof/>
            <w:webHidden/>
            <w:sz w:val="24"/>
            <w:szCs w:val="24"/>
          </w:rPr>
          <w:fldChar w:fldCharType="separate"/>
        </w:r>
        <w:r w:rsidR="00CE3537">
          <w:rPr>
            <w:noProof/>
            <w:webHidden/>
            <w:sz w:val="24"/>
            <w:szCs w:val="24"/>
          </w:rPr>
          <w:t>4</w:t>
        </w:r>
        <w:r w:rsidRPr="00BC14ED">
          <w:rPr>
            <w:noProof/>
            <w:webHidden/>
            <w:sz w:val="24"/>
            <w:szCs w:val="24"/>
          </w:rPr>
          <w:fldChar w:fldCharType="end"/>
        </w:r>
      </w:hyperlink>
    </w:p>
    <w:p w14:paraId="5903B673" w14:textId="530E9A43" w:rsidR="00BC14ED" w:rsidRPr="00BC14ED" w:rsidRDefault="00BC14ED">
      <w:pPr>
        <w:pStyle w:val="TOC1"/>
        <w:rPr>
          <w:rFonts w:asciiTheme="minorHAnsi" w:hAnsiTheme="minorHAnsi" w:cstheme="minorBidi"/>
          <w:noProof/>
          <w:kern w:val="2"/>
          <w:sz w:val="24"/>
          <w:szCs w:val="24"/>
          <w:lang w:eastAsia="en-IE"/>
          <w14:ligatures w14:val="standardContextual"/>
        </w:rPr>
      </w:pPr>
      <w:hyperlink w:anchor="_Toc147833573" w:history="1">
        <w:r w:rsidRPr="00BC14ED">
          <w:rPr>
            <w:rStyle w:val="Hyperlink"/>
            <w:noProof/>
            <w:sz w:val="24"/>
            <w:szCs w:val="24"/>
          </w:rPr>
          <w:t>5.</w:t>
        </w:r>
        <w:r w:rsidRPr="00BC14ED">
          <w:rPr>
            <w:rFonts w:asciiTheme="minorHAnsi" w:hAnsiTheme="minorHAnsi" w:cstheme="minorBidi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BC14ED">
          <w:rPr>
            <w:rStyle w:val="Hyperlink"/>
            <w:noProof/>
            <w:sz w:val="24"/>
            <w:szCs w:val="24"/>
          </w:rPr>
          <w:t>Timing</w:t>
        </w:r>
        <w:r w:rsidRPr="00BC14ED">
          <w:rPr>
            <w:noProof/>
            <w:webHidden/>
            <w:sz w:val="24"/>
            <w:szCs w:val="24"/>
          </w:rPr>
          <w:tab/>
        </w:r>
        <w:r w:rsidRPr="00BC14ED">
          <w:rPr>
            <w:noProof/>
            <w:webHidden/>
            <w:sz w:val="24"/>
            <w:szCs w:val="24"/>
          </w:rPr>
          <w:fldChar w:fldCharType="begin"/>
        </w:r>
        <w:r w:rsidRPr="00BC14ED">
          <w:rPr>
            <w:noProof/>
            <w:webHidden/>
            <w:sz w:val="24"/>
            <w:szCs w:val="24"/>
          </w:rPr>
          <w:instrText xml:space="preserve"> PAGEREF _Toc147833573 \h </w:instrText>
        </w:r>
        <w:r w:rsidRPr="00BC14ED">
          <w:rPr>
            <w:noProof/>
            <w:webHidden/>
            <w:sz w:val="24"/>
            <w:szCs w:val="24"/>
          </w:rPr>
        </w:r>
        <w:r w:rsidRPr="00BC14ED">
          <w:rPr>
            <w:noProof/>
            <w:webHidden/>
            <w:sz w:val="24"/>
            <w:szCs w:val="24"/>
          </w:rPr>
          <w:fldChar w:fldCharType="separate"/>
        </w:r>
        <w:r w:rsidR="00CE3537">
          <w:rPr>
            <w:noProof/>
            <w:webHidden/>
            <w:sz w:val="24"/>
            <w:szCs w:val="24"/>
          </w:rPr>
          <w:t>4</w:t>
        </w:r>
        <w:r w:rsidRPr="00BC14ED">
          <w:rPr>
            <w:noProof/>
            <w:webHidden/>
            <w:sz w:val="24"/>
            <w:szCs w:val="24"/>
          </w:rPr>
          <w:fldChar w:fldCharType="end"/>
        </w:r>
      </w:hyperlink>
    </w:p>
    <w:p w14:paraId="7E7B38B5" w14:textId="3DFAC226" w:rsidR="00BC14ED" w:rsidRPr="00BC14ED" w:rsidRDefault="00BC14ED">
      <w:pPr>
        <w:pStyle w:val="TOC1"/>
        <w:rPr>
          <w:rFonts w:asciiTheme="minorHAnsi" w:hAnsiTheme="minorHAnsi" w:cstheme="minorBidi"/>
          <w:noProof/>
          <w:kern w:val="2"/>
          <w:sz w:val="24"/>
          <w:szCs w:val="24"/>
          <w:lang w:eastAsia="en-IE"/>
          <w14:ligatures w14:val="standardContextual"/>
        </w:rPr>
      </w:pPr>
      <w:hyperlink w:anchor="_Toc147833574" w:history="1">
        <w:r w:rsidRPr="00BC14ED">
          <w:rPr>
            <w:rStyle w:val="Hyperlink"/>
            <w:noProof/>
            <w:sz w:val="24"/>
            <w:szCs w:val="24"/>
          </w:rPr>
          <w:t>6.</w:t>
        </w:r>
        <w:r w:rsidRPr="00BC14ED">
          <w:rPr>
            <w:rFonts w:asciiTheme="minorHAnsi" w:hAnsiTheme="minorHAnsi" w:cstheme="minorBidi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BC14ED">
          <w:rPr>
            <w:rStyle w:val="Hyperlink"/>
            <w:noProof/>
            <w:sz w:val="24"/>
            <w:szCs w:val="24"/>
          </w:rPr>
          <w:t>Risk identification</w:t>
        </w:r>
        <w:r w:rsidRPr="00BC14ED">
          <w:rPr>
            <w:noProof/>
            <w:webHidden/>
            <w:sz w:val="24"/>
            <w:szCs w:val="24"/>
          </w:rPr>
          <w:tab/>
        </w:r>
        <w:r w:rsidRPr="00BC14ED">
          <w:rPr>
            <w:noProof/>
            <w:webHidden/>
            <w:sz w:val="24"/>
            <w:szCs w:val="24"/>
          </w:rPr>
          <w:fldChar w:fldCharType="begin"/>
        </w:r>
        <w:r w:rsidRPr="00BC14ED">
          <w:rPr>
            <w:noProof/>
            <w:webHidden/>
            <w:sz w:val="24"/>
            <w:szCs w:val="24"/>
          </w:rPr>
          <w:instrText xml:space="preserve"> PAGEREF _Toc147833574 \h </w:instrText>
        </w:r>
        <w:r w:rsidRPr="00BC14ED">
          <w:rPr>
            <w:noProof/>
            <w:webHidden/>
            <w:sz w:val="24"/>
            <w:szCs w:val="24"/>
          </w:rPr>
        </w:r>
        <w:r w:rsidRPr="00BC14ED">
          <w:rPr>
            <w:noProof/>
            <w:webHidden/>
            <w:sz w:val="24"/>
            <w:szCs w:val="24"/>
          </w:rPr>
          <w:fldChar w:fldCharType="separate"/>
        </w:r>
        <w:r w:rsidR="00CE3537">
          <w:rPr>
            <w:noProof/>
            <w:webHidden/>
            <w:sz w:val="24"/>
            <w:szCs w:val="24"/>
          </w:rPr>
          <w:t>4</w:t>
        </w:r>
        <w:r w:rsidRPr="00BC14ED">
          <w:rPr>
            <w:noProof/>
            <w:webHidden/>
            <w:sz w:val="24"/>
            <w:szCs w:val="24"/>
          </w:rPr>
          <w:fldChar w:fldCharType="end"/>
        </w:r>
      </w:hyperlink>
    </w:p>
    <w:p w14:paraId="26B40DB7" w14:textId="39BA66F6" w:rsidR="00BC14ED" w:rsidRPr="00BC14ED" w:rsidRDefault="00BC14ED">
      <w:pPr>
        <w:pStyle w:val="TOC1"/>
        <w:rPr>
          <w:rFonts w:asciiTheme="minorHAnsi" w:hAnsiTheme="minorHAnsi" w:cstheme="minorBidi"/>
          <w:noProof/>
          <w:kern w:val="2"/>
          <w:sz w:val="24"/>
          <w:szCs w:val="24"/>
          <w:lang w:eastAsia="en-IE"/>
          <w14:ligatures w14:val="standardContextual"/>
        </w:rPr>
      </w:pPr>
      <w:hyperlink w:anchor="_Toc147833578" w:history="1">
        <w:r w:rsidRPr="00BC14ED">
          <w:rPr>
            <w:rStyle w:val="Hyperlink"/>
            <w:noProof/>
            <w:sz w:val="24"/>
            <w:szCs w:val="24"/>
          </w:rPr>
          <w:t>7.</w:t>
        </w:r>
        <w:r w:rsidRPr="00BC14ED">
          <w:rPr>
            <w:rFonts w:asciiTheme="minorHAnsi" w:hAnsiTheme="minorHAnsi" w:cstheme="minorBidi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BC14ED">
          <w:rPr>
            <w:rStyle w:val="Hyperlink"/>
            <w:noProof/>
            <w:sz w:val="24"/>
            <w:szCs w:val="24"/>
          </w:rPr>
          <w:t>Evaluation</w:t>
        </w:r>
        <w:r w:rsidRPr="00BC14ED">
          <w:rPr>
            <w:noProof/>
            <w:webHidden/>
            <w:sz w:val="24"/>
            <w:szCs w:val="24"/>
          </w:rPr>
          <w:tab/>
        </w:r>
        <w:r w:rsidRPr="00BC14ED">
          <w:rPr>
            <w:noProof/>
            <w:webHidden/>
            <w:sz w:val="24"/>
            <w:szCs w:val="24"/>
          </w:rPr>
          <w:fldChar w:fldCharType="begin"/>
        </w:r>
        <w:r w:rsidRPr="00BC14ED">
          <w:rPr>
            <w:noProof/>
            <w:webHidden/>
            <w:sz w:val="24"/>
            <w:szCs w:val="24"/>
          </w:rPr>
          <w:instrText xml:space="preserve"> PAGEREF _Toc147833578 \h </w:instrText>
        </w:r>
        <w:r w:rsidRPr="00BC14ED">
          <w:rPr>
            <w:noProof/>
            <w:webHidden/>
            <w:sz w:val="24"/>
            <w:szCs w:val="24"/>
          </w:rPr>
        </w:r>
        <w:r w:rsidRPr="00BC14ED">
          <w:rPr>
            <w:noProof/>
            <w:webHidden/>
            <w:sz w:val="24"/>
            <w:szCs w:val="24"/>
          </w:rPr>
          <w:fldChar w:fldCharType="separate"/>
        </w:r>
        <w:r w:rsidR="00CE3537">
          <w:rPr>
            <w:noProof/>
            <w:webHidden/>
            <w:sz w:val="24"/>
            <w:szCs w:val="24"/>
          </w:rPr>
          <w:t>6</w:t>
        </w:r>
        <w:r w:rsidRPr="00BC14ED">
          <w:rPr>
            <w:noProof/>
            <w:webHidden/>
            <w:sz w:val="24"/>
            <w:szCs w:val="24"/>
          </w:rPr>
          <w:fldChar w:fldCharType="end"/>
        </w:r>
      </w:hyperlink>
    </w:p>
    <w:p w14:paraId="647EEC10" w14:textId="658F2F99" w:rsidR="00BC14ED" w:rsidRPr="00BC14ED" w:rsidRDefault="00BC14ED">
      <w:pPr>
        <w:pStyle w:val="TOC1"/>
        <w:rPr>
          <w:rFonts w:asciiTheme="minorHAnsi" w:hAnsiTheme="minorHAnsi" w:cstheme="minorBidi"/>
          <w:noProof/>
          <w:kern w:val="2"/>
          <w:sz w:val="24"/>
          <w:szCs w:val="24"/>
          <w:lang w:eastAsia="en-IE"/>
          <w14:ligatures w14:val="standardContextual"/>
        </w:rPr>
      </w:pPr>
      <w:hyperlink w:anchor="_Toc147833579" w:history="1">
        <w:r w:rsidRPr="00BC14ED">
          <w:rPr>
            <w:rStyle w:val="Hyperlink"/>
            <w:noProof/>
            <w:sz w:val="24"/>
            <w:szCs w:val="24"/>
          </w:rPr>
          <w:t>8.</w:t>
        </w:r>
        <w:r w:rsidRPr="00BC14ED">
          <w:rPr>
            <w:rFonts w:asciiTheme="minorHAnsi" w:hAnsiTheme="minorHAnsi" w:cstheme="minorBidi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BC14ED">
          <w:rPr>
            <w:rStyle w:val="Hyperlink"/>
            <w:noProof/>
            <w:sz w:val="24"/>
            <w:szCs w:val="24"/>
          </w:rPr>
          <w:t>Risk mitigation</w:t>
        </w:r>
        <w:r w:rsidRPr="00BC14ED">
          <w:rPr>
            <w:noProof/>
            <w:webHidden/>
            <w:sz w:val="24"/>
            <w:szCs w:val="24"/>
          </w:rPr>
          <w:tab/>
        </w:r>
        <w:r w:rsidRPr="00BC14ED">
          <w:rPr>
            <w:noProof/>
            <w:webHidden/>
            <w:sz w:val="24"/>
            <w:szCs w:val="24"/>
          </w:rPr>
          <w:fldChar w:fldCharType="begin"/>
        </w:r>
        <w:r w:rsidRPr="00BC14ED">
          <w:rPr>
            <w:noProof/>
            <w:webHidden/>
            <w:sz w:val="24"/>
            <w:szCs w:val="24"/>
          </w:rPr>
          <w:instrText xml:space="preserve"> PAGEREF _Toc147833579 \h </w:instrText>
        </w:r>
        <w:r w:rsidRPr="00BC14ED">
          <w:rPr>
            <w:noProof/>
            <w:webHidden/>
            <w:sz w:val="24"/>
            <w:szCs w:val="24"/>
          </w:rPr>
        </w:r>
        <w:r w:rsidRPr="00BC14ED">
          <w:rPr>
            <w:noProof/>
            <w:webHidden/>
            <w:sz w:val="24"/>
            <w:szCs w:val="24"/>
          </w:rPr>
          <w:fldChar w:fldCharType="separate"/>
        </w:r>
        <w:r w:rsidR="00CE3537">
          <w:rPr>
            <w:noProof/>
            <w:webHidden/>
            <w:sz w:val="24"/>
            <w:szCs w:val="24"/>
          </w:rPr>
          <w:t>6</w:t>
        </w:r>
        <w:r w:rsidRPr="00BC14ED">
          <w:rPr>
            <w:noProof/>
            <w:webHidden/>
            <w:sz w:val="24"/>
            <w:szCs w:val="24"/>
          </w:rPr>
          <w:fldChar w:fldCharType="end"/>
        </w:r>
      </w:hyperlink>
    </w:p>
    <w:p w14:paraId="7432FFB2" w14:textId="5062723E" w:rsidR="00BC14ED" w:rsidRPr="00BC14ED" w:rsidRDefault="00BC14ED">
      <w:pPr>
        <w:pStyle w:val="TOC1"/>
        <w:rPr>
          <w:rFonts w:asciiTheme="minorHAnsi" w:hAnsiTheme="minorHAnsi" w:cstheme="minorBidi"/>
          <w:noProof/>
          <w:kern w:val="2"/>
          <w:sz w:val="24"/>
          <w:szCs w:val="24"/>
          <w:lang w:eastAsia="en-IE"/>
          <w14:ligatures w14:val="standardContextual"/>
        </w:rPr>
      </w:pPr>
      <w:hyperlink w:anchor="_Toc147833580" w:history="1">
        <w:r w:rsidRPr="00BC14ED">
          <w:rPr>
            <w:rStyle w:val="Hyperlink"/>
            <w:noProof/>
            <w:sz w:val="24"/>
            <w:szCs w:val="24"/>
          </w:rPr>
          <w:t>9.</w:t>
        </w:r>
        <w:r w:rsidRPr="00BC14ED">
          <w:rPr>
            <w:rFonts w:asciiTheme="minorHAnsi" w:hAnsiTheme="minorHAnsi" w:cstheme="minorBidi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BC14ED">
          <w:rPr>
            <w:rStyle w:val="Hyperlink"/>
            <w:noProof/>
            <w:sz w:val="24"/>
            <w:szCs w:val="24"/>
          </w:rPr>
          <w:t>Integration into strategic decision making</w:t>
        </w:r>
        <w:r w:rsidRPr="00BC14ED">
          <w:rPr>
            <w:noProof/>
            <w:webHidden/>
            <w:sz w:val="24"/>
            <w:szCs w:val="24"/>
          </w:rPr>
          <w:tab/>
        </w:r>
        <w:r w:rsidRPr="00BC14ED">
          <w:rPr>
            <w:noProof/>
            <w:webHidden/>
            <w:sz w:val="24"/>
            <w:szCs w:val="24"/>
          </w:rPr>
          <w:fldChar w:fldCharType="begin"/>
        </w:r>
        <w:r w:rsidRPr="00BC14ED">
          <w:rPr>
            <w:noProof/>
            <w:webHidden/>
            <w:sz w:val="24"/>
            <w:szCs w:val="24"/>
          </w:rPr>
          <w:instrText xml:space="preserve"> PAGEREF _Toc147833580 \h </w:instrText>
        </w:r>
        <w:r w:rsidRPr="00BC14ED">
          <w:rPr>
            <w:noProof/>
            <w:webHidden/>
            <w:sz w:val="24"/>
            <w:szCs w:val="24"/>
          </w:rPr>
        </w:r>
        <w:r w:rsidRPr="00BC14ED">
          <w:rPr>
            <w:noProof/>
            <w:webHidden/>
            <w:sz w:val="24"/>
            <w:szCs w:val="24"/>
          </w:rPr>
          <w:fldChar w:fldCharType="separate"/>
        </w:r>
        <w:r w:rsidR="00CE3537">
          <w:rPr>
            <w:noProof/>
            <w:webHidden/>
            <w:sz w:val="24"/>
            <w:szCs w:val="24"/>
          </w:rPr>
          <w:t>6</w:t>
        </w:r>
        <w:r w:rsidRPr="00BC14ED">
          <w:rPr>
            <w:noProof/>
            <w:webHidden/>
            <w:sz w:val="24"/>
            <w:szCs w:val="24"/>
          </w:rPr>
          <w:fldChar w:fldCharType="end"/>
        </w:r>
      </w:hyperlink>
    </w:p>
    <w:p w14:paraId="6388405B" w14:textId="168B8518" w:rsidR="00BC14ED" w:rsidRPr="00BC14ED" w:rsidRDefault="00BC14ED">
      <w:pPr>
        <w:pStyle w:val="TOC1"/>
        <w:rPr>
          <w:rFonts w:asciiTheme="minorHAnsi" w:hAnsiTheme="minorHAnsi" w:cstheme="minorBidi"/>
          <w:noProof/>
          <w:kern w:val="2"/>
          <w:sz w:val="24"/>
          <w:szCs w:val="24"/>
          <w:lang w:eastAsia="en-IE"/>
          <w14:ligatures w14:val="standardContextual"/>
        </w:rPr>
      </w:pPr>
      <w:hyperlink w:anchor="_Toc147833581" w:history="1">
        <w:r w:rsidRPr="00BC14ED">
          <w:rPr>
            <w:rStyle w:val="Hyperlink"/>
            <w:noProof/>
            <w:sz w:val="24"/>
            <w:szCs w:val="24"/>
          </w:rPr>
          <w:t>10.</w:t>
        </w:r>
        <w:r w:rsidRPr="00BC14ED">
          <w:rPr>
            <w:rFonts w:asciiTheme="minorHAnsi" w:hAnsiTheme="minorHAnsi" w:cstheme="minorBidi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BC14ED">
          <w:rPr>
            <w:rStyle w:val="Hyperlink"/>
            <w:noProof/>
            <w:sz w:val="24"/>
            <w:szCs w:val="24"/>
          </w:rPr>
          <w:t>Documentation and reporting</w:t>
        </w:r>
        <w:r w:rsidRPr="00BC14ED">
          <w:rPr>
            <w:noProof/>
            <w:webHidden/>
            <w:sz w:val="24"/>
            <w:szCs w:val="24"/>
          </w:rPr>
          <w:tab/>
        </w:r>
        <w:r w:rsidRPr="00BC14ED">
          <w:rPr>
            <w:noProof/>
            <w:webHidden/>
            <w:sz w:val="24"/>
            <w:szCs w:val="24"/>
          </w:rPr>
          <w:fldChar w:fldCharType="begin"/>
        </w:r>
        <w:r w:rsidRPr="00BC14ED">
          <w:rPr>
            <w:noProof/>
            <w:webHidden/>
            <w:sz w:val="24"/>
            <w:szCs w:val="24"/>
          </w:rPr>
          <w:instrText xml:space="preserve"> PAGEREF _Toc147833581 \h </w:instrText>
        </w:r>
        <w:r w:rsidRPr="00BC14ED">
          <w:rPr>
            <w:noProof/>
            <w:webHidden/>
            <w:sz w:val="24"/>
            <w:szCs w:val="24"/>
          </w:rPr>
        </w:r>
        <w:r w:rsidRPr="00BC14ED">
          <w:rPr>
            <w:noProof/>
            <w:webHidden/>
            <w:sz w:val="24"/>
            <w:szCs w:val="24"/>
          </w:rPr>
          <w:fldChar w:fldCharType="separate"/>
        </w:r>
        <w:r w:rsidR="00CE3537">
          <w:rPr>
            <w:noProof/>
            <w:webHidden/>
            <w:sz w:val="24"/>
            <w:szCs w:val="24"/>
          </w:rPr>
          <w:t>6</w:t>
        </w:r>
        <w:r w:rsidRPr="00BC14ED">
          <w:rPr>
            <w:noProof/>
            <w:webHidden/>
            <w:sz w:val="24"/>
            <w:szCs w:val="24"/>
          </w:rPr>
          <w:fldChar w:fldCharType="end"/>
        </w:r>
      </w:hyperlink>
    </w:p>
    <w:p w14:paraId="7D19C416" w14:textId="4F3D2835" w:rsidR="00BC14ED" w:rsidRPr="00BC14ED" w:rsidRDefault="00BC14ED">
      <w:pPr>
        <w:pStyle w:val="TOC1"/>
        <w:rPr>
          <w:rFonts w:asciiTheme="minorHAnsi" w:hAnsiTheme="minorHAnsi" w:cstheme="minorBidi"/>
          <w:noProof/>
          <w:kern w:val="2"/>
          <w:sz w:val="24"/>
          <w:szCs w:val="24"/>
          <w:lang w:eastAsia="en-IE"/>
          <w14:ligatures w14:val="standardContextual"/>
        </w:rPr>
      </w:pPr>
      <w:hyperlink w:anchor="_Toc147833582" w:history="1">
        <w:r w:rsidRPr="00BC14ED">
          <w:rPr>
            <w:rStyle w:val="Hyperlink"/>
            <w:noProof/>
            <w:sz w:val="24"/>
            <w:szCs w:val="24"/>
          </w:rPr>
          <w:t>11.</w:t>
        </w:r>
        <w:r w:rsidRPr="00BC14ED">
          <w:rPr>
            <w:rFonts w:asciiTheme="minorHAnsi" w:hAnsiTheme="minorHAnsi" w:cstheme="minorBidi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BC14ED">
          <w:rPr>
            <w:rStyle w:val="Hyperlink"/>
            <w:noProof/>
            <w:sz w:val="24"/>
            <w:szCs w:val="24"/>
          </w:rPr>
          <w:t>Appendix: Own-risk assessment considerations</w:t>
        </w:r>
        <w:r w:rsidRPr="00BC14ED">
          <w:rPr>
            <w:noProof/>
            <w:webHidden/>
            <w:sz w:val="24"/>
            <w:szCs w:val="24"/>
          </w:rPr>
          <w:tab/>
        </w:r>
        <w:r w:rsidRPr="00BC14ED">
          <w:rPr>
            <w:noProof/>
            <w:webHidden/>
            <w:sz w:val="24"/>
            <w:szCs w:val="24"/>
          </w:rPr>
          <w:fldChar w:fldCharType="begin"/>
        </w:r>
        <w:r w:rsidRPr="00BC14ED">
          <w:rPr>
            <w:noProof/>
            <w:webHidden/>
            <w:sz w:val="24"/>
            <w:szCs w:val="24"/>
          </w:rPr>
          <w:instrText xml:space="preserve"> PAGEREF _Toc147833582 \h </w:instrText>
        </w:r>
        <w:r w:rsidRPr="00BC14ED">
          <w:rPr>
            <w:noProof/>
            <w:webHidden/>
            <w:sz w:val="24"/>
            <w:szCs w:val="24"/>
          </w:rPr>
        </w:r>
        <w:r w:rsidRPr="00BC14ED">
          <w:rPr>
            <w:noProof/>
            <w:webHidden/>
            <w:sz w:val="24"/>
            <w:szCs w:val="24"/>
          </w:rPr>
          <w:fldChar w:fldCharType="separate"/>
        </w:r>
        <w:r w:rsidR="00CE3537">
          <w:rPr>
            <w:noProof/>
            <w:webHidden/>
            <w:sz w:val="24"/>
            <w:szCs w:val="24"/>
          </w:rPr>
          <w:t>7</w:t>
        </w:r>
        <w:r w:rsidRPr="00BC14ED">
          <w:rPr>
            <w:noProof/>
            <w:webHidden/>
            <w:sz w:val="24"/>
            <w:szCs w:val="24"/>
          </w:rPr>
          <w:fldChar w:fldCharType="end"/>
        </w:r>
      </w:hyperlink>
    </w:p>
    <w:p w14:paraId="353A165C" w14:textId="0E0504B5" w:rsidR="00BC14ED" w:rsidRPr="00BC14ED" w:rsidRDefault="00BC14ED" w:rsidP="00BC14ED">
      <w:pPr>
        <w:spacing w:line="276" w:lineRule="auto"/>
        <w:jc w:val="both"/>
        <w:rPr>
          <w:rFonts w:cs="Arial"/>
          <w:b/>
          <w:bCs/>
        </w:rPr>
      </w:pPr>
      <w:r w:rsidRPr="00BC14ED">
        <w:rPr>
          <w:rFonts w:cs="Arial"/>
          <w:b/>
          <w:bCs/>
        </w:rPr>
        <w:fldChar w:fldCharType="end"/>
      </w:r>
    </w:p>
    <w:p w14:paraId="39D7C595" w14:textId="39135BF0" w:rsidR="00E63ABE" w:rsidRPr="00AB7AA2" w:rsidRDefault="00E63ABE" w:rsidP="00BC14ED">
      <w:pPr>
        <w:spacing w:line="276" w:lineRule="auto"/>
        <w:jc w:val="both"/>
        <w:rPr>
          <w:rFonts w:cs="Arial"/>
        </w:rPr>
      </w:pPr>
    </w:p>
    <w:p w14:paraId="61346541" w14:textId="5176295E" w:rsidR="00E63ABE" w:rsidRPr="00AB7AA2" w:rsidRDefault="00E63ABE" w:rsidP="00BC14ED">
      <w:pPr>
        <w:spacing w:line="276" w:lineRule="auto"/>
        <w:ind w:left="357"/>
        <w:jc w:val="both"/>
        <w:rPr>
          <w:rFonts w:cs="Arial"/>
        </w:rPr>
      </w:pPr>
    </w:p>
    <w:p w14:paraId="2D8D40F8" w14:textId="4FCC5652" w:rsidR="00E63ABE" w:rsidRPr="00BB4062" w:rsidRDefault="00E63ABE" w:rsidP="00BC14ED">
      <w:pPr>
        <w:spacing w:line="276" w:lineRule="auto"/>
        <w:ind w:left="357"/>
        <w:jc w:val="both"/>
        <w:rPr>
          <w:rFonts w:cs="Arial"/>
        </w:rPr>
      </w:pPr>
    </w:p>
    <w:p w14:paraId="0476EAD6" w14:textId="14F0CDED" w:rsidR="00E63ABE" w:rsidRPr="00BB4062" w:rsidRDefault="00E63ABE" w:rsidP="00BC14ED">
      <w:pPr>
        <w:spacing w:line="276" w:lineRule="auto"/>
        <w:ind w:left="357"/>
        <w:jc w:val="both"/>
        <w:rPr>
          <w:rFonts w:cs="Arial"/>
        </w:rPr>
      </w:pPr>
    </w:p>
    <w:p w14:paraId="7F43DD35" w14:textId="77777777" w:rsidR="00E63ABE" w:rsidRPr="00BB4062" w:rsidRDefault="00E63ABE" w:rsidP="007F557B">
      <w:pPr>
        <w:spacing w:after="240" w:line="276" w:lineRule="auto"/>
        <w:ind w:left="357"/>
        <w:jc w:val="both"/>
        <w:rPr>
          <w:rFonts w:cs="Arial"/>
        </w:rPr>
      </w:pPr>
    </w:p>
    <w:p w14:paraId="1557BC4E" w14:textId="77777777" w:rsidR="00E63ABE" w:rsidRPr="00BB4062" w:rsidRDefault="00E63ABE" w:rsidP="007F557B">
      <w:pPr>
        <w:spacing w:after="240" w:line="276" w:lineRule="auto"/>
        <w:ind w:left="357"/>
        <w:jc w:val="both"/>
        <w:rPr>
          <w:rFonts w:cs="Arial"/>
        </w:rPr>
      </w:pPr>
    </w:p>
    <w:p w14:paraId="5E00E961" w14:textId="77777777" w:rsidR="00E63ABE" w:rsidRPr="00BB4062" w:rsidRDefault="00E63ABE" w:rsidP="007F557B">
      <w:pPr>
        <w:spacing w:after="240" w:line="276" w:lineRule="auto"/>
        <w:ind w:left="357"/>
        <w:jc w:val="both"/>
        <w:rPr>
          <w:rFonts w:cs="Arial"/>
        </w:rPr>
      </w:pPr>
    </w:p>
    <w:p w14:paraId="029E57DE" w14:textId="77777777" w:rsidR="00EF745E" w:rsidRDefault="00EF745E" w:rsidP="007F557B">
      <w:pPr>
        <w:spacing w:after="240" w:line="276" w:lineRule="auto"/>
        <w:jc w:val="both"/>
        <w:rPr>
          <w:rFonts w:cs="Arial"/>
        </w:rPr>
      </w:pPr>
    </w:p>
    <w:p w14:paraId="601F121B" w14:textId="77777777" w:rsidR="006429A4" w:rsidRDefault="006429A4" w:rsidP="007F557B">
      <w:pPr>
        <w:spacing w:after="240" w:line="276" w:lineRule="auto"/>
        <w:jc w:val="both"/>
        <w:rPr>
          <w:rFonts w:cs="Arial"/>
        </w:rPr>
      </w:pPr>
    </w:p>
    <w:p w14:paraId="0732C53B" w14:textId="77777777" w:rsidR="006429A4" w:rsidRDefault="006429A4" w:rsidP="007F557B">
      <w:pPr>
        <w:spacing w:after="240" w:line="276" w:lineRule="auto"/>
        <w:jc w:val="both"/>
        <w:rPr>
          <w:rFonts w:cs="Arial"/>
        </w:rPr>
      </w:pPr>
    </w:p>
    <w:p w14:paraId="6CD2A0DA" w14:textId="77777777" w:rsidR="006429A4" w:rsidRDefault="006429A4" w:rsidP="007F557B">
      <w:pPr>
        <w:spacing w:after="240" w:line="276" w:lineRule="auto"/>
        <w:jc w:val="both"/>
        <w:rPr>
          <w:rFonts w:cs="Arial"/>
        </w:rPr>
      </w:pPr>
    </w:p>
    <w:p w14:paraId="0C313C63" w14:textId="77777777" w:rsidR="000D15D5" w:rsidRDefault="000D15D5" w:rsidP="007F557B">
      <w:pPr>
        <w:spacing w:after="240" w:line="276" w:lineRule="auto"/>
        <w:jc w:val="both"/>
        <w:rPr>
          <w:rFonts w:cs="Arial"/>
        </w:rPr>
      </w:pPr>
    </w:p>
    <w:p w14:paraId="0060DC65" w14:textId="77777777" w:rsidR="008227DB" w:rsidRDefault="008227DB" w:rsidP="007F557B">
      <w:pPr>
        <w:spacing w:after="240" w:line="276" w:lineRule="auto"/>
        <w:jc w:val="both"/>
        <w:rPr>
          <w:rFonts w:cs="Arial"/>
        </w:rPr>
      </w:pPr>
    </w:p>
    <w:p w14:paraId="0AB1632D" w14:textId="77777777" w:rsidR="008227DB" w:rsidRDefault="008227DB" w:rsidP="007F557B">
      <w:pPr>
        <w:spacing w:after="240" w:line="276" w:lineRule="auto"/>
        <w:jc w:val="both"/>
        <w:rPr>
          <w:rFonts w:cs="Arial"/>
        </w:rPr>
      </w:pPr>
    </w:p>
    <w:p w14:paraId="6E9C9E16" w14:textId="77777777" w:rsidR="006429A4" w:rsidRDefault="006429A4" w:rsidP="007F557B">
      <w:pPr>
        <w:spacing w:after="240" w:line="276" w:lineRule="auto"/>
        <w:jc w:val="both"/>
        <w:rPr>
          <w:rFonts w:cs="Arial"/>
        </w:rPr>
      </w:pPr>
    </w:p>
    <w:p w14:paraId="3C1C8739" w14:textId="77777777" w:rsidR="00340602" w:rsidRDefault="00340602" w:rsidP="007F557B">
      <w:pPr>
        <w:spacing w:after="240" w:line="276" w:lineRule="auto"/>
        <w:jc w:val="both"/>
        <w:rPr>
          <w:rFonts w:cs="Arial"/>
        </w:rPr>
        <w:sectPr w:rsidR="00340602" w:rsidSect="00E63ABE">
          <w:footerReference w:type="first" r:id="rId12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98A23AD" w14:textId="465DAF1D" w:rsidR="00E63ABE" w:rsidRPr="00BC14ED" w:rsidRDefault="00E63ABE" w:rsidP="00343964">
      <w:pPr>
        <w:pStyle w:val="Heading3"/>
        <w:ind w:left="567" w:hanging="567"/>
      </w:pPr>
      <w:bookmarkStart w:id="1" w:name="_Toc147833264"/>
      <w:bookmarkStart w:id="2" w:name="_Toc147833567"/>
      <w:r w:rsidRPr="00BC14ED">
        <w:lastRenderedPageBreak/>
        <w:t>Introduction</w:t>
      </w:r>
      <w:bookmarkEnd w:id="1"/>
      <w:bookmarkEnd w:id="2"/>
    </w:p>
    <w:p w14:paraId="35677FD6" w14:textId="3AF78E99" w:rsidR="00064393" w:rsidRPr="00E065C2" w:rsidRDefault="00BE4650" w:rsidP="00343964">
      <w:p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 w:rsidRPr="00E065C2">
        <w:rPr>
          <w:rFonts w:eastAsia="Times New Roman" w:cs="Arial"/>
          <w:lang w:val="en-GB" w:eastAsia="en-GB"/>
        </w:rPr>
        <w:t>The purpose of this</w:t>
      </w:r>
      <w:r w:rsidR="003C78E5" w:rsidRPr="00E065C2">
        <w:rPr>
          <w:rFonts w:eastAsia="Times New Roman" w:cs="Arial"/>
          <w:lang w:val="en-GB" w:eastAsia="en-GB"/>
        </w:rPr>
        <w:t xml:space="preserve"> document is to provide guidance to trustees </w:t>
      </w:r>
      <w:r w:rsidR="00E25A4F" w:rsidRPr="00E065C2">
        <w:rPr>
          <w:rFonts w:eastAsia="Times New Roman" w:cs="Arial"/>
          <w:lang w:val="en-GB" w:eastAsia="en-GB"/>
        </w:rPr>
        <w:t>on</w:t>
      </w:r>
      <w:r w:rsidR="003C78E5" w:rsidRPr="00E065C2">
        <w:rPr>
          <w:rFonts w:eastAsia="Times New Roman" w:cs="Arial"/>
          <w:lang w:val="en-GB" w:eastAsia="en-GB"/>
        </w:rPr>
        <w:t xml:space="preserve"> how to </w:t>
      </w:r>
      <w:r w:rsidR="00C6334A">
        <w:rPr>
          <w:rFonts w:eastAsia="Times New Roman" w:cs="Arial"/>
          <w:lang w:val="en-GB" w:eastAsia="en-GB"/>
        </w:rPr>
        <w:t>conduct</w:t>
      </w:r>
      <w:r w:rsidR="00E25A4F" w:rsidRPr="00E065C2">
        <w:rPr>
          <w:rFonts w:eastAsia="Times New Roman" w:cs="Arial"/>
          <w:lang w:val="en-GB" w:eastAsia="en-GB"/>
        </w:rPr>
        <w:t xml:space="preserve"> their scheme’s</w:t>
      </w:r>
      <w:r w:rsidR="00E70CC8" w:rsidRPr="00E065C2">
        <w:rPr>
          <w:rFonts w:eastAsia="Times New Roman" w:cs="Arial"/>
          <w:lang w:val="en-GB" w:eastAsia="en-GB"/>
        </w:rPr>
        <w:t xml:space="preserve"> </w:t>
      </w:r>
      <w:r w:rsidR="00922258" w:rsidRPr="00E065C2">
        <w:rPr>
          <w:rFonts w:eastAsia="Times New Roman" w:cs="Arial"/>
          <w:lang w:val="en-GB" w:eastAsia="en-GB"/>
        </w:rPr>
        <w:t>o</w:t>
      </w:r>
      <w:r w:rsidR="00E70CC8" w:rsidRPr="00E065C2">
        <w:rPr>
          <w:rFonts w:eastAsia="Times New Roman" w:cs="Arial"/>
          <w:lang w:val="en-GB" w:eastAsia="en-GB"/>
        </w:rPr>
        <w:t>wn</w:t>
      </w:r>
      <w:r w:rsidR="00922258" w:rsidRPr="00E065C2">
        <w:rPr>
          <w:rFonts w:eastAsia="Times New Roman" w:cs="Arial"/>
          <w:lang w:val="en-GB" w:eastAsia="en-GB"/>
        </w:rPr>
        <w:t>-r</w:t>
      </w:r>
      <w:r w:rsidR="00E70CC8" w:rsidRPr="00E065C2">
        <w:rPr>
          <w:rFonts w:eastAsia="Times New Roman" w:cs="Arial"/>
          <w:lang w:val="en-GB" w:eastAsia="en-GB"/>
        </w:rPr>
        <w:t xml:space="preserve">isk </w:t>
      </w:r>
      <w:r w:rsidR="00922258" w:rsidRPr="00E065C2">
        <w:rPr>
          <w:rFonts w:eastAsia="Times New Roman" w:cs="Arial"/>
          <w:lang w:val="en-GB" w:eastAsia="en-GB"/>
        </w:rPr>
        <w:t>a</w:t>
      </w:r>
      <w:r w:rsidR="00E70CC8" w:rsidRPr="00E065C2">
        <w:rPr>
          <w:rFonts w:eastAsia="Times New Roman" w:cs="Arial"/>
          <w:lang w:val="en-GB" w:eastAsia="en-GB"/>
        </w:rPr>
        <w:t xml:space="preserve">ssessment </w:t>
      </w:r>
      <w:r w:rsidR="00B9491E" w:rsidRPr="00E065C2">
        <w:rPr>
          <w:rFonts w:eastAsia="Times New Roman" w:cs="Arial"/>
          <w:lang w:val="en-GB" w:eastAsia="en-GB"/>
        </w:rPr>
        <w:t>(</w:t>
      </w:r>
      <w:r w:rsidR="00E70CC8" w:rsidRPr="00E065C2">
        <w:rPr>
          <w:rFonts w:eastAsia="Times New Roman" w:cs="Arial"/>
          <w:lang w:val="en-GB" w:eastAsia="en-GB"/>
        </w:rPr>
        <w:t>ORA</w:t>
      </w:r>
      <w:r w:rsidR="00B9491E" w:rsidRPr="00E065C2">
        <w:rPr>
          <w:rFonts w:eastAsia="Times New Roman" w:cs="Arial"/>
          <w:lang w:val="en-GB" w:eastAsia="en-GB"/>
        </w:rPr>
        <w:t>).</w:t>
      </w:r>
      <w:r w:rsidR="00512CC9" w:rsidRPr="00E065C2">
        <w:rPr>
          <w:rFonts w:eastAsia="Times New Roman" w:cs="Arial"/>
          <w:lang w:val="en-GB" w:eastAsia="en-GB"/>
        </w:rPr>
        <w:t xml:space="preserve"> </w:t>
      </w:r>
    </w:p>
    <w:p w14:paraId="527A32C4" w14:textId="1B82A580" w:rsidR="006F2C14" w:rsidRPr="00E065C2" w:rsidRDefault="006F2C14" w:rsidP="00343964">
      <w:pPr>
        <w:kinsoku w:val="0"/>
        <w:overflowPunct w:val="0"/>
        <w:spacing w:after="240" w:line="276" w:lineRule="auto"/>
        <w:textAlignment w:val="baseline"/>
        <w:rPr>
          <w:rFonts w:cs="Arial"/>
        </w:rPr>
      </w:pPr>
      <w:r w:rsidRPr="00E065C2">
        <w:rPr>
          <w:rFonts w:cs="Arial"/>
        </w:rPr>
        <w:t xml:space="preserve">The </w:t>
      </w:r>
      <w:r w:rsidR="00500895">
        <w:rPr>
          <w:rFonts w:cs="Arial"/>
        </w:rPr>
        <w:t xml:space="preserve">Pensions </w:t>
      </w:r>
      <w:r w:rsidRPr="00E065C2">
        <w:rPr>
          <w:rFonts w:cs="Arial"/>
        </w:rPr>
        <w:t>Authority</w:t>
      </w:r>
      <w:r w:rsidR="00500895">
        <w:rPr>
          <w:rFonts w:cs="Arial"/>
        </w:rPr>
        <w:t xml:space="preserve"> (the Authority)</w:t>
      </w:r>
      <w:r w:rsidRPr="00E065C2">
        <w:rPr>
          <w:rFonts w:cs="Arial"/>
        </w:rPr>
        <w:t xml:space="preserve"> expects that this guidance will be </w:t>
      </w:r>
      <w:r w:rsidR="004B17C2" w:rsidRPr="00E065C2">
        <w:rPr>
          <w:rFonts w:cs="Arial"/>
        </w:rPr>
        <w:t>used</w:t>
      </w:r>
      <w:r w:rsidRPr="00E065C2">
        <w:rPr>
          <w:rFonts w:cs="Arial"/>
        </w:rPr>
        <w:t xml:space="preserve"> to supplement trustees’ existing ORA process and not be used as a starting point.</w:t>
      </w:r>
      <w:r w:rsidR="004B17C2" w:rsidRPr="00E065C2">
        <w:rPr>
          <w:rFonts w:cs="Arial"/>
        </w:rPr>
        <w:t xml:space="preserve"> </w:t>
      </w:r>
      <w:r w:rsidR="00C6334A">
        <w:rPr>
          <w:rFonts w:cs="Arial"/>
        </w:rPr>
        <w:t>T</w:t>
      </w:r>
      <w:r w:rsidR="004B17C2" w:rsidRPr="00E065C2">
        <w:rPr>
          <w:rFonts w:cs="Arial"/>
        </w:rPr>
        <w:t>he Authority reminds trustees that the ORA process should not be mechanistic</w:t>
      </w:r>
      <w:r w:rsidR="00106F18">
        <w:rPr>
          <w:rFonts w:cs="Arial"/>
        </w:rPr>
        <w:t>. Further, the ORA process should be</w:t>
      </w:r>
      <w:r w:rsidR="004B17C2" w:rsidRPr="00E065C2">
        <w:rPr>
          <w:rFonts w:cs="Arial"/>
        </w:rPr>
        <w:t xml:space="preserve"> </w:t>
      </w:r>
      <w:r w:rsidR="00106F18">
        <w:rPr>
          <w:rFonts w:cs="Arial"/>
        </w:rPr>
        <w:t>s</w:t>
      </w:r>
      <w:r w:rsidR="00E25A4F" w:rsidRPr="00E065C2">
        <w:rPr>
          <w:rFonts w:cs="Arial"/>
        </w:rPr>
        <w:t>ufficiently</w:t>
      </w:r>
      <w:r w:rsidR="004B17C2" w:rsidRPr="00E065C2">
        <w:rPr>
          <w:rFonts w:cs="Arial"/>
        </w:rPr>
        <w:t xml:space="preserve"> considered and flexible to work with a scheme’s individual risk profile</w:t>
      </w:r>
      <w:r w:rsidR="007A627F" w:rsidRPr="00E065C2">
        <w:rPr>
          <w:rFonts w:cs="Arial"/>
        </w:rPr>
        <w:t>. The Authority</w:t>
      </w:r>
      <w:r w:rsidR="00EF6512">
        <w:rPr>
          <w:rFonts w:cs="Arial"/>
        </w:rPr>
        <w:t xml:space="preserve"> also</w:t>
      </w:r>
      <w:r w:rsidR="007A627F" w:rsidRPr="00E065C2">
        <w:rPr>
          <w:rFonts w:cs="Arial"/>
        </w:rPr>
        <w:t xml:space="preserve"> </w:t>
      </w:r>
      <w:r w:rsidR="00BA15A9">
        <w:rPr>
          <w:rFonts w:cs="Arial"/>
        </w:rPr>
        <w:t>reminds</w:t>
      </w:r>
      <w:r w:rsidR="00BA15A9" w:rsidRPr="00E065C2">
        <w:rPr>
          <w:rFonts w:cs="Arial"/>
        </w:rPr>
        <w:t xml:space="preserve"> </w:t>
      </w:r>
      <w:r w:rsidR="007A627F" w:rsidRPr="00E065C2">
        <w:rPr>
          <w:rFonts w:cs="Arial"/>
        </w:rPr>
        <w:t xml:space="preserve">trustees </w:t>
      </w:r>
      <w:r w:rsidR="00BA15A9">
        <w:rPr>
          <w:rFonts w:cs="Arial"/>
        </w:rPr>
        <w:t>that</w:t>
      </w:r>
      <w:r w:rsidR="007A627F" w:rsidRPr="00E065C2">
        <w:rPr>
          <w:rFonts w:cs="Arial"/>
        </w:rPr>
        <w:t xml:space="preserve"> the ORA</w:t>
      </w:r>
      <w:r w:rsidR="00106F18">
        <w:rPr>
          <w:rFonts w:cs="Arial"/>
        </w:rPr>
        <w:t xml:space="preserve"> is</w:t>
      </w:r>
      <w:r w:rsidR="007A627F" w:rsidRPr="00E065C2">
        <w:rPr>
          <w:rFonts w:cs="Arial"/>
        </w:rPr>
        <w:t xml:space="preserve"> </w:t>
      </w:r>
      <w:r w:rsidR="00BA15A9">
        <w:rPr>
          <w:rFonts w:cs="Arial"/>
        </w:rPr>
        <w:t>one of their most important responsibilities</w:t>
      </w:r>
      <w:r w:rsidR="007A627F" w:rsidRPr="00E065C2">
        <w:rPr>
          <w:rFonts w:cs="Arial"/>
        </w:rPr>
        <w:t xml:space="preserve"> and </w:t>
      </w:r>
      <w:r w:rsidR="00AA3398">
        <w:rPr>
          <w:rFonts w:cs="Arial"/>
        </w:rPr>
        <w:t>they must</w:t>
      </w:r>
      <w:r w:rsidR="00BA15A9">
        <w:rPr>
          <w:rFonts w:cs="Arial"/>
        </w:rPr>
        <w:t xml:space="preserve"> </w:t>
      </w:r>
      <w:r w:rsidR="007A627F" w:rsidRPr="00E065C2">
        <w:rPr>
          <w:rFonts w:cs="Arial"/>
        </w:rPr>
        <w:t>dedicate sufficient time a</w:t>
      </w:r>
      <w:r w:rsidR="00106F18">
        <w:rPr>
          <w:rFonts w:cs="Arial"/>
        </w:rPr>
        <w:t>n</w:t>
      </w:r>
      <w:r w:rsidR="007A627F" w:rsidRPr="00E065C2">
        <w:rPr>
          <w:rFonts w:cs="Arial"/>
        </w:rPr>
        <w:t>d attention to ensuring it is fit for purpose.</w:t>
      </w:r>
    </w:p>
    <w:p w14:paraId="3E7F46B5" w14:textId="73850E15" w:rsidR="00686A13" w:rsidRPr="00E065C2" w:rsidRDefault="00686A13" w:rsidP="00343964">
      <w:pPr>
        <w:kinsoku w:val="0"/>
        <w:overflowPunct w:val="0"/>
        <w:spacing w:after="240" w:line="276" w:lineRule="auto"/>
        <w:textAlignment w:val="baseline"/>
        <w:rPr>
          <w:rFonts w:cs="Arial"/>
        </w:rPr>
      </w:pPr>
      <w:r w:rsidRPr="00E065C2">
        <w:rPr>
          <w:rFonts w:eastAsia="Times New Roman" w:cs="Arial"/>
          <w:lang w:val="en-GB" w:eastAsia="en-GB"/>
        </w:rPr>
        <w:t>A</w:t>
      </w:r>
      <w:r w:rsidR="00192A5B" w:rsidRPr="00E065C2">
        <w:rPr>
          <w:rFonts w:eastAsia="Times New Roman" w:cs="Arial"/>
          <w:lang w:val="en-GB" w:eastAsia="en-GB"/>
        </w:rPr>
        <w:t xml:space="preserve"> </w:t>
      </w:r>
      <w:r w:rsidR="0056503D" w:rsidRPr="00E065C2">
        <w:rPr>
          <w:rFonts w:eastAsia="Times New Roman" w:cs="Arial"/>
          <w:lang w:val="en-GB" w:eastAsia="en-GB"/>
        </w:rPr>
        <w:t xml:space="preserve">list of </w:t>
      </w:r>
      <w:r w:rsidR="00843D72" w:rsidRPr="00E065C2">
        <w:rPr>
          <w:rFonts w:eastAsia="Times New Roman" w:cs="Arial"/>
          <w:lang w:val="en-GB" w:eastAsia="en-GB"/>
        </w:rPr>
        <w:t xml:space="preserve">ORA </w:t>
      </w:r>
      <w:r w:rsidR="0056503D" w:rsidRPr="00E065C2">
        <w:rPr>
          <w:rFonts w:eastAsia="Times New Roman" w:cs="Arial"/>
          <w:lang w:val="en-GB" w:eastAsia="en-GB"/>
        </w:rPr>
        <w:t>considerations</w:t>
      </w:r>
      <w:r w:rsidRPr="00E065C2">
        <w:rPr>
          <w:rFonts w:eastAsia="Times New Roman" w:cs="Arial"/>
          <w:lang w:val="en-GB" w:eastAsia="en-GB"/>
        </w:rPr>
        <w:t xml:space="preserve"> for trustees</w:t>
      </w:r>
      <w:r w:rsidR="00843D72" w:rsidRPr="00E065C2">
        <w:rPr>
          <w:rFonts w:eastAsia="Times New Roman" w:cs="Arial"/>
          <w:lang w:val="en-GB" w:eastAsia="en-GB"/>
        </w:rPr>
        <w:t xml:space="preserve"> </w:t>
      </w:r>
      <w:r w:rsidRPr="00E065C2">
        <w:rPr>
          <w:rFonts w:eastAsia="Times New Roman" w:cs="Arial"/>
          <w:lang w:val="en-GB" w:eastAsia="en-GB"/>
        </w:rPr>
        <w:t xml:space="preserve">is included in the </w:t>
      </w:r>
      <w:r w:rsidR="009B3D17" w:rsidRPr="00E065C2">
        <w:rPr>
          <w:rFonts w:eastAsia="Times New Roman" w:cs="Arial"/>
          <w:lang w:val="en-GB" w:eastAsia="en-GB"/>
        </w:rPr>
        <w:t>a</w:t>
      </w:r>
      <w:r w:rsidRPr="00E065C2">
        <w:rPr>
          <w:rFonts w:eastAsia="Times New Roman" w:cs="Arial"/>
          <w:lang w:val="en-GB" w:eastAsia="en-GB"/>
        </w:rPr>
        <w:t>ppendix</w:t>
      </w:r>
      <w:r w:rsidR="009B3D17" w:rsidRPr="00E065C2">
        <w:rPr>
          <w:rFonts w:eastAsia="Times New Roman" w:cs="Arial"/>
          <w:lang w:val="en-GB" w:eastAsia="en-GB"/>
        </w:rPr>
        <w:t xml:space="preserve"> to this guidance</w:t>
      </w:r>
      <w:r w:rsidR="003C7CEC" w:rsidRPr="00E065C2">
        <w:rPr>
          <w:rFonts w:eastAsia="Times New Roman" w:cs="Arial"/>
          <w:lang w:val="en-GB" w:eastAsia="en-GB"/>
        </w:rPr>
        <w:t>.</w:t>
      </w:r>
    </w:p>
    <w:p w14:paraId="20CEBDBD" w14:textId="5DD07518" w:rsidR="00890BF5" w:rsidRPr="00BC14ED" w:rsidRDefault="00890BF5" w:rsidP="00343964">
      <w:pPr>
        <w:pStyle w:val="Heading3"/>
        <w:ind w:left="567" w:hanging="567"/>
      </w:pPr>
      <w:bookmarkStart w:id="3" w:name="_Toc147833265"/>
      <w:bookmarkStart w:id="4" w:name="_Toc147833568"/>
      <w:r w:rsidRPr="00BC14ED">
        <w:t xml:space="preserve">Purpose of </w:t>
      </w:r>
      <w:r w:rsidR="00916704" w:rsidRPr="00BC14ED">
        <w:t xml:space="preserve">the </w:t>
      </w:r>
      <w:r w:rsidRPr="00BC14ED">
        <w:t>ORA</w:t>
      </w:r>
      <w:bookmarkEnd w:id="3"/>
      <w:bookmarkEnd w:id="4"/>
    </w:p>
    <w:p w14:paraId="3651ADB7" w14:textId="1C6BA84C" w:rsidR="00890BF5" w:rsidRPr="00E065C2" w:rsidRDefault="00890BF5" w:rsidP="00343964">
      <w:p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 w:rsidRPr="00E065C2">
        <w:rPr>
          <w:rFonts w:eastAsia="Times New Roman" w:cs="Arial"/>
          <w:lang w:val="en-GB" w:eastAsia="en-GB"/>
        </w:rPr>
        <w:t xml:space="preserve">The ORA is </w:t>
      </w:r>
      <w:r w:rsidR="00881F02">
        <w:rPr>
          <w:rFonts w:eastAsia="Times New Roman" w:cs="Arial"/>
          <w:lang w:val="en-GB" w:eastAsia="en-GB"/>
        </w:rPr>
        <w:t xml:space="preserve">a </w:t>
      </w:r>
      <w:r w:rsidR="007742EA">
        <w:rPr>
          <w:rFonts w:eastAsia="Times New Roman" w:cs="Arial"/>
          <w:lang w:val="en-GB" w:eastAsia="en-GB"/>
        </w:rPr>
        <w:t>periodic</w:t>
      </w:r>
      <w:r w:rsidR="007A627F" w:rsidRPr="00E065C2">
        <w:rPr>
          <w:rFonts w:eastAsia="Times New Roman" w:cs="Arial"/>
          <w:lang w:val="en-GB" w:eastAsia="en-GB"/>
        </w:rPr>
        <w:t>,</w:t>
      </w:r>
      <w:r w:rsidRPr="00E065C2">
        <w:rPr>
          <w:rFonts w:eastAsia="Times New Roman" w:cs="Arial"/>
          <w:lang w:val="en-GB" w:eastAsia="en-GB"/>
        </w:rPr>
        <w:t xml:space="preserve"> </w:t>
      </w:r>
      <w:r w:rsidR="00EF6512" w:rsidRPr="00E065C2">
        <w:rPr>
          <w:rFonts w:eastAsia="Times New Roman" w:cs="Arial"/>
          <w:lang w:val="en-GB" w:eastAsia="en-GB"/>
        </w:rPr>
        <w:t>structured,</w:t>
      </w:r>
      <w:r w:rsidRPr="00E065C2">
        <w:rPr>
          <w:rFonts w:eastAsia="Times New Roman" w:cs="Arial"/>
          <w:lang w:val="en-GB" w:eastAsia="en-GB"/>
        </w:rPr>
        <w:t xml:space="preserve"> and thorough assessment of the risks a scheme faces by its trustees</w:t>
      </w:r>
      <w:r w:rsidR="0051216D" w:rsidRPr="00E065C2">
        <w:rPr>
          <w:rFonts w:eastAsia="Times New Roman" w:cs="Arial"/>
          <w:lang w:val="en-GB" w:eastAsia="en-GB"/>
        </w:rPr>
        <w:t>. The ORA must also identify the</w:t>
      </w:r>
      <w:r w:rsidR="005A4F9C" w:rsidRPr="00E065C2">
        <w:rPr>
          <w:rFonts w:eastAsia="Times New Roman" w:cs="Arial"/>
          <w:lang w:val="en-GB" w:eastAsia="en-GB"/>
        </w:rPr>
        <w:t xml:space="preserve"> actions that are needed to</w:t>
      </w:r>
      <w:r w:rsidR="00A30A7A" w:rsidRPr="00E065C2">
        <w:rPr>
          <w:rFonts w:eastAsia="Times New Roman" w:cs="Arial"/>
          <w:lang w:val="en-GB" w:eastAsia="en-GB"/>
        </w:rPr>
        <w:t xml:space="preserve"> effectively manage and where appropriate mitigate th</w:t>
      </w:r>
      <w:r w:rsidR="0051216D" w:rsidRPr="00E065C2">
        <w:rPr>
          <w:rFonts w:eastAsia="Times New Roman" w:cs="Arial"/>
          <w:lang w:val="en-GB" w:eastAsia="en-GB"/>
        </w:rPr>
        <w:t>e</w:t>
      </w:r>
      <w:r w:rsidR="00A30A7A" w:rsidRPr="00E065C2">
        <w:rPr>
          <w:rFonts w:eastAsia="Times New Roman" w:cs="Arial"/>
          <w:lang w:val="en-GB" w:eastAsia="en-GB"/>
        </w:rPr>
        <w:t xml:space="preserve"> risks</w:t>
      </w:r>
      <w:r w:rsidR="0051216D" w:rsidRPr="00E065C2">
        <w:rPr>
          <w:rFonts w:eastAsia="Times New Roman" w:cs="Arial"/>
          <w:lang w:val="en-GB" w:eastAsia="en-GB"/>
        </w:rPr>
        <w:t xml:space="preserve"> identified.</w:t>
      </w:r>
      <w:r w:rsidR="005A4F9C" w:rsidRPr="00E065C2">
        <w:rPr>
          <w:rFonts w:eastAsia="Times New Roman" w:cs="Arial"/>
          <w:lang w:val="en-GB" w:eastAsia="en-GB"/>
        </w:rPr>
        <w:t xml:space="preserve"> </w:t>
      </w:r>
      <w:r w:rsidRPr="00E065C2">
        <w:rPr>
          <w:rFonts w:eastAsia="Times New Roman" w:cs="Arial"/>
          <w:lang w:val="en-GB" w:eastAsia="en-GB"/>
        </w:rPr>
        <w:t>The ORA must provide a</w:t>
      </w:r>
      <w:r w:rsidR="00D60BA3" w:rsidRPr="00E065C2">
        <w:rPr>
          <w:rFonts w:eastAsia="Times New Roman" w:cs="Arial"/>
          <w:lang w:val="en-GB" w:eastAsia="en-GB"/>
        </w:rPr>
        <w:t>n objective</w:t>
      </w:r>
      <w:r w:rsidRPr="00E065C2">
        <w:rPr>
          <w:rFonts w:eastAsia="Times New Roman" w:cs="Arial"/>
          <w:lang w:val="en-GB" w:eastAsia="en-GB"/>
        </w:rPr>
        <w:t xml:space="preserve"> assessment of risk and not merely a rationalisation of the scheme’s current position. Its overall purpose is to ensure members</w:t>
      </w:r>
      <w:r w:rsidR="00DD1833">
        <w:rPr>
          <w:rFonts w:eastAsia="Times New Roman" w:cs="Arial"/>
          <w:lang w:val="en-GB" w:eastAsia="en-GB"/>
        </w:rPr>
        <w:t>’</w:t>
      </w:r>
      <w:r w:rsidRPr="00E065C2">
        <w:rPr>
          <w:rFonts w:eastAsia="Times New Roman" w:cs="Arial"/>
          <w:lang w:val="en-GB" w:eastAsia="en-GB"/>
        </w:rPr>
        <w:t xml:space="preserve"> benefits are well protected and that the scheme delivers good member outcomes.</w:t>
      </w:r>
      <w:r w:rsidR="00486C51" w:rsidRPr="00E065C2">
        <w:rPr>
          <w:rFonts w:eastAsia="Times New Roman" w:cs="Arial"/>
          <w:lang w:val="en-GB" w:eastAsia="en-GB"/>
        </w:rPr>
        <w:t xml:space="preserve"> </w:t>
      </w:r>
    </w:p>
    <w:p w14:paraId="75C80B94" w14:textId="7B93BBAC" w:rsidR="00890BF5" w:rsidRPr="00BC14ED" w:rsidRDefault="006C63EF" w:rsidP="00343964">
      <w:pPr>
        <w:pStyle w:val="Heading3"/>
        <w:ind w:left="567" w:hanging="567"/>
      </w:pPr>
      <w:bookmarkStart w:id="5" w:name="_Toc147833266"/>
      <w:bookmarkStart w:id="6" w:name="_Toc147833569"/>
      <w:r w:rsidRPr="00BC14ED">
        <w:t>Responsibility</w:t>
      </w:r>
      <w:bookmarkEnd w:id="5"/>
      <w:bookmarkEnd w:id="6"/>
    </w:p>
    <w:p w14:paraId="7F5ABAE8" w14:textId="258641C9" w:rsidR="004F7BF2" w:rsidRPr="00E065C2" w:rsidRDefault="004F7BF2" w:rsidP="00343964">
      <w:pPr>
        <w:spacing w:after="240" w:line="276" w:lineRule="auto"/>
        <w:rPr>
          <w:rFonts w:cs="Arial"/>
        </w:rPr>
      </w:pPr>
      <w:r w:rsidRPr="00E065C2">
        <w:rPr>
          <w:rFonts w:cs="Arial"/>
        </w:rPr>
        <w:t>The roles of the trustee and the risk management key function holder</w:t>
      </w:r>
      <w:r w:rsidR="00565D17">
        <w:rPr>
          <w:rFonts w:cs="Arial"/>
        </w:rPr>
        <w:t xml:space="preserve"> </w:t>
      </w:r>
      <w:r w:rsidR="00565D17" w:rsidRPr="00E065C2">
        <w:rPr>
          <w:rFonts w:eastAsia="Times New Roman" w:cs="Arial"/>
          <w:lang w:val="en-GB" w:eastAsia="en-GB"/>
        </w:rPr>
        <w:t>(KFH)</w:t>
      </w:r>
      <w:r w:rsidR="00565D17">
        <w:rPr>
          <w:rFonts w:cs="Arial"/>
        </w:rPr>
        <w:t>,</w:t>
      </w:r>
      <w:r w:rsidRPr="00E065C2">
        <w:rPr>
          <w:rFonts w:cs="Arial"/>
        </w:rPr>
        <w:t xml:space="preserve"> in</w:t>
      </w:r>
      <w:r w:rsidR="00106F18">
        <w:rPr>
          <w:rFonts w:cs="Arial"/>
        </w:rPr>
        <w:t xml:space="preserve"> relation to the ORA</w:t>
      </w:r>
      <w:r w:rsidR="00565D17">
        <w:rPr>
          <w:rFonts w:cs="Arial"/>
        </w:rPr>
        <w:t>,</w:t>
      </w:r>
      <w:r w:rsidR="00106F18">
        <w:rPr>
          <w:rFonts w:cs="Arial"/>
        </w:rPr>
        <w:t xml:space="preserve"> are set out</w:t>
      </w:r>
      <w:r w:rsidR="00881F02">
        <w:rPr>
          <w:rFonts w:cs="Arial"/>
        </w:rPr>
        <w:t xml:space="preserve"> below.</w:t>
      </w:r>
    </w:p>
    <w:p w14:paraId="7489B222" w14:textId="392B474D" w:rsidR="00B3425F" w:rsidRPr="00BC14ED" w:rsidRDefault="00B3425F" w:rsidP="00343964">
      <w:pPr>
        <w:pStyle w:val="Heading4"/>
        <w:numPr>
          <w:ilvl w:val="1"/>
          <w:numId w:val="32"/>
        </w:numPr>
        <w:ind w:left="567" w:hanging="567"/>
      </w:pPr>
      <w:bookmarkStart w:id="7" w:name="_Toc147833267"/>
      <w:bookmarkStart w:id="8" w:name="_Toc147833570"/>
      <w:r w:rsidRPr="00BC14ED">
        <w:t>Trustees</w:t>
      </w:r>
      <w:bookmarkEnd w:id="7"/>
      <w:bookmarkEnd w:id="8"/>
    </w:p>
    <w:p w14:paraId="1E88E94E" w14:textId="0B07411F" w:rsidR="00B30957" w:rsidRPr="00E065C2" w:rsidRDefault="00890BF5" w:rsidP="00343964">
      <w:p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 w:rsidRPr="00E065C2">
        <w:rPr>
          <w:rFonts w:eastAsia="Times New Roman" w:cs="Arial"/>
          <w:lang w:val="en-GB" w:eastAsia="en-GB"/>
        </w:rPr>
        <w:t>The quality and integrity of the ORA is the responsibility of the trustees</w:t>
      </w:r>
      <w:r w:rsidR="00621A5B" w:rsidRPr="00E065C2">
        <w:rPr>
          <w:rFonts w:eastAsia="Times New Roman" w:cs="Arial"/>
          <w:lang w:val="en-GB" w:eastAsia="en-GB"/>
        </w:rPr>
        <w:t xml:space="preserve">. </w:t>
      </w:r>
      <w:r w:rsidR="007D46B0" w:rsidRPr="00E065C2">
        <w:rPr>
          <w:rFonts w:eastAsia="Times New Roman" w:cs="Arial"/>
          <w:lang w:val="en-GB" w:eastAsia="en-GB"/>
        </w:rPr>
        <w:t xml:space="preserve">The trustees </w:t>
      </w:r>
      <w:r w:rsidR="00106F18">
        <w:rPr>
          <w:rFonts w:eastAsia="Times New Roman" w:cs="Arial"/>
          <w:lang w:val="en-GB" w:eastAsia="en-GB"/>
        </w:rPr>
        <w:t>are also responsible for drawing conclusions from the ORA and agreeing on how to address th</w:t>
      </w:r>
      <w:r w:rsidR="00F97827">
        <w:rPr>
          <w:rFonts w:eastAsia="Times New Roman" w:cs="Arial"/>
          <w:lang w:val="en-GB" w:eastAsia="en-GB"/>
        </w:rPr>
        <w:t>ose conclusions</w:t>
      </w:r>
      <w:r w:rsidR="00106F18">
        <w:rPr>
          <w:rFonts w:eastAsia="Times New Roman" w:cs="Arial"/>
          <w:lang w:val="en-GB" w:eastAsia="en-GB"/>
        </w:rPr>
        <w:t>.</w:t>
      </w:r>
      <w:r w:rsidR="007D46B0" w:rsidRPr="00E065C2">
        <w:rPr>
          <w:rFonts w:eastAsia="Times New Roman" w:cs="Arial"/>
          <w:lang w:val="en-GB" w:eastAsia="en-GB"/>
        </w:rPr>
        <w:t xml:space="preserve"> While</w:t>
      </w:r>
      <w:r w:rsidRPr="00E065C2">
        <w:rPr>
          <w:rFonts w:eastAsia="Times New Roman" w:cs="Arial"/>
          <w:lang w:val="en-GB" w:eastAsia="en-GB"/>
        </w:rPr>
        <w:t xml:space="preserve"> trustees may engage professional advice to ensure that the ORA is fit for purpose, the trustees </w:t>
      </w:r>
      <w:r w:rsidR="0051216D" w:rsidRPr="00E065C2">
        <w:rPr>
          <w:rFonts w:eastAsia="Times New Roman" w:cs="Arial"/>
          <w:lang w:val="en-GB" w:eastAsia="en-GB"/>
        </w:rPr>
        <w:t xml:space="preserve">remain responsible </w:t>
      </w:r>
      <w:r w:rsidR="007D46B0" w:rsidRPr="00E065C2">
        <w:rPr>
          <w:rFonts w:eastAsia="Times New Roman" w:cs="Arial"/>
          <w:lang w:val="en-GB" w:eastAsia="en-GB"/>
        </w:rPr>
        <w:t xml:space="preserve">for the </w:t>
      </w:r>
      <w:r w:rsidR="008045F1">
        <w:rPr>
          <w:rFonts w:eastAsia="Times New Roman" w:cs="Arial"/>
          <w:lang w:val="en-GB" w:eastAsia="en-GB"/>
        </w:rPr>
        <w:t>design</w:t>
      </w:r>
      <w:r w:rsidR="007D46B0" w:rsidRPr="00E065C2">
        <w:rPr>
          <w:rFonts w:eastAsia="Times New Roman" w:cs="Arial"/>
          <w:lang w:val="en-GB" w:eastAsia="en-GB"/>
        </w:rPr>
        <w:t xml:space="preserve"> of the </w:t>
      </w:r>
      <w:r w:rsidRPr="00E065C2">
        <w:rPr>
          <w:rFonts w:eastAsia="Times New Roman" w:cs="Arial"/>
          <w:lang w:val="en-GB" w:eastAsia="en-GB"/>
        </w:rPr>
        <w:t>ORA process</w:t>
      </w:r>
      <w:r w:rsidR="00106F18">
        <w:rPr>
          <w:rFonts w:eastAsia="Times New Roman" w:cs="Arial"/>
          <w:lang w:val="en-GB" w:eastAsia="en-GB"/>
        </w:rPr>
        <w:t xml:space="preserve"> and the delivery of the ORA</w:t>
      </w:r>
      <w:r w:rsidRPr="00E065C2">
        <w:rPr>
          <w:rFonts w:eastAsia="Times New Roman" w:cs="Arial"/>
          <w:lang w:val="en-GB" w:eastAsia="en-GB"/>
        </w:rPr>
        <w:t xml:space="preserve"> </w:t>
      </w:r>
      <w:r w:rsidR="00106F18">
        <w:rPr>
          <w:rFonts w:eastAsia="Times New Roman" w:cs="Arial"/>
          <w:lang w:val="en-GB" w:eastAsia="en-GB"/>
        </w:rPr>
        <w:t>itself.</w:t>
      </w:r>
      <w:r w:rsidR="007D46B0" w:rsidRPr="00E065C2">
        <w:rPr>
          <w:rFonts w:eastAsia="Times New Roman" w:cs="Arial"/>
          <w:lang w:val="en-GB" w:eastAsia="en-GB"/>
        </w:rPr>
        <w:t xml:space="preserve"> </w:t>
      </w:r>
      <w:proofErr w:type="gramStart"/>
      <w:r w:rsidR="00312CA0" w:rsidRPr="00E065C2">
        <w:rPr>
          <w:rFonts w:eastAsia="Times New Roman" w:cs="Arial"/>
          <w:lang w:val="en-GB" w:eastAsia="en-GB"/>
        </w:rPr>
        <w:t>In particular, t</w:t>
      </w:r>
      <w:r w:rsidR="00B30957" w:rsidRPr="00E065C2">
        <w:rPr>
          <w:rFonts w:eastAsia="Times New Roman" w:cs="Arial"/>
          <w:lang w:val="en-GB" w:eastAsia="en-GB"/>
        </w:rPr>
        <w:t>rustees</w:t>
      </w:r>
      <w:proofErr w:type="gramEnd"/>
      <w:r w:rsidR="00B30957" w:rsidRPr="00E065C2">
        <w:rPr>
          <w:rFonts w:eastAsia="Times New Roman" w:cs="Arial"/>
          <w:lang w:val="en-GB" w:eastAsia="en-GB"/>
        </w:rPr>
        <w:t xml:space="preserve"> </w:t>
      </w:r>
      <w:r w:rsidR="00312CA0" w:rsidRPr="00E065C2">
        <w:rPr>
          <w:rFonts w:eastAsia="Times New Roman" w:cs="Arial"/>
          <w:lang w:val="en-GB" w:eastAsia="en-GB"/>
        </w:rPr>
        <w:t>must take account of the ORA when making strategic decision</w:t>
      </w:r>
      <w:r w:rsidR="008045F1">
        <w:rPr>
          <w:rFonts w:eastAsia="Times New Roman" w:cs="Arial"/>
          <w:lang w:val="en-GB" w:eastAsia="en-GB"/>
        </w:rPr>
        <w:t>s</w:t>
      </w:r>
      <w:r w:rsidR="00312CA0" w:rsidRPr="00E065C2">
        <w:rPr>
          <w:rFonts w:eastAsia="Times New Roman" w:cs="Arial"/>
          <w:lang w:val="en-GB" w:eastAsia="en-GB"/>
        </w:rPr>
        <w:t xml:space="preserve"> in respect of the scheme.</w:t>
      </w:r>
      <w:r w:rsidR="00B30957" w:rsidRPr="00E065C2">
        <w:rPr>
          <w:rFonts w:eastAsia="Times New Roman" w:cs="Arial"/>
          <w:lang w:val="en-GB" w:eastAsia="en-GB"/>
        </w:rPr>
        <w:t xml:space="preserve"> </w:t>
      </w:r>
    </w:p>
    <w:p w14:paraId="09102331" w14:textId="5011DF40" w:rsidR="00EF6512" w:rsidRPr="00E065C2" w:rsidRDefault="007742EA" w:rsidP="00343964">
      <w:p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>
        <w:rPr>
          <w:rFonts w:eastAsia="Times New Roman" w:cs="Arial"/>
          <w:lang w:val="en-GB" w:eastAsia="en-GB"/>
        </w:rPr>
        <w:t>T</w:t>
      </w:r>
      <w:r w:rsidR="00A15C51" w:rsidRPr="00E065C2">
        <w:rPr>
          <w:rFonts w:eastAsia="Times New Roman" w:cs="Arial"/>
          <w:lang w:val="en-GB" w:eastAsia="en-GB"/>
        </w:rPr>
        <w:t xml:space="preserve">he trustees </w:t>
      </w:r>
      <w:r>
        <w:rPr>
          <w:rFonts w:eastAsia="Times New Roman" w:cs="Arial"/>
          <w:lang w:val="en-GB" w:eastAsia="en-GB"/>
        </w:rPr>
        <w:t xml:space="preserve">may appoint </w:t>
      </w:r>
      <w:r w:rsidR="00A15C51" w:rsidRPr="00E065C2">
        <w:rPr>
          <w:rFonts w:eastAsia="Times New Roman" w:cs="Arial"/>
          <w:lang w:val="en-GB" w:eastAsia="en-GB"/>
        </w:rPr>
        <w:t xml:space="preserve">the risk management KFH to lead the ORA </w:t>
      </w:r>
      <w:r w:rsidRPr="00E065C2">
        <w:rPr>
          <w:rFonts w:eastAsia="Times New Roman" w:cs="Arial"/>
          <w:lang w:val="en-GB" w:eastAsia="en-GB"/>
        </w:rPr>
        <w:t>process but</w:t>
      </w:r>
      <w:r w:rsidR="00A15C51" w:rsidRPr="00E065C2">
        <w:rPr>
          <w:rFonts w:eastAsia="Times New Roman" w:cs="Arial"/>
          <w:lang w:val="en-GB" w:eastAsia="en-GB"/>
        </w:rPr>
        <w:t xml:space="preserve"> must </w:t>
      </w:r>
      <w:r w:rsidR="00FD7D1A" w:rsidRPr="00E065C2">
        <w:rPr>
          <w:rFonts w:eastAsia="Times New Roman" w:cs="Arial"/>
          <w:lang w:val="en-GB" w:eastAsia="en-GB"/>
        </w:rPr>
        <w:t>enable</w:t>
      </w:r>
      <w:r w:rsidR="00A15C51" w:rsidRPr="00E065C2">
        <w:rPr>
          <w:rFonts w:eastAsia="Times New Roman" w:cs="Arial"/>
          <w:lang w:val="en-GB" w:eastAsia="en-GB"/>
        </w:rPr>
        <w:t xml:space="preserve"> the risk management</w:t>
      </w:r>
      <w:r w:rsidR="00FD7D1A" w:rsidRPr="00E065C2">
        <w:rPr>
          <w:rFonts w:eastAsia="Times New Roman" w:cs="Arial"/>
          <w:lang w:val="en-GB" w:eastAsia="en-GB"/>
        </w:rPr>
        <w:t xml:space="preserve"> KFH</w:t>
      </w:r>
      <w:r w:rsidR="00A15C51" w:rsidRPr="00E065C2">
        <w:rPr>
          <w:rFonts w:eastAsia="Times New Roman" w:cs="Arial"/>
          <w:lang w:val="en-GB" w:eastAsia="en-GB"/>
        </w:rPr>
        <w:t xml:space="preserve"> to</w:t>
      </w:r>
      <w:r w:rsidR="00FD7D1A" w:rsidRPr="00E065C2">
        <w:rPr>
          <w:rFonts w:eastAsia="Times New Roman" w:cs="Arial"/>
          <w:lang w:val="en-GB" w:eastAsia="en-GB"/>
        </w:rPr>
        <w:t xml:space="preserve"> do so </w:t>
      </w:r>
      <w:r w:rsidR="00A15C51" w:rsidRPr="00E065C2">
        <w:rPr>
          <w:rFonts w:eastAsia="Times New Roman" w:cs="Arial"/>
          <w:lang w:val="en-GB" w:eastAsia="en-GB"/>
        </w:rPr>
        <w:t xml:space="preserve">in an objective, fair and independent manner. </w:t>
      </w:r>
    </w:p>
    <w:p w14:paraId="215BC7B1" w14:textId="77777777" w:rsidR="00F1349E" w:rsidRPr="00BC14ED" w:rsidRDefault="00F1349E" w:rsidP="00343964">
      <w:pPr>
        <w:pStyle w:val="Heading4"/>
        <w:numPr>
          <w:ilvl w:val="1"/>
          <w:numId w:val="32"/>
        </w:numPr>
        <w:ind w:left="567" w:hanging="567"/>
      </w:pPr>
      <w:bookmarkStart w:id="9" w:name="_Toc147833268"/>
      <w:bookmarkStart w:id="10" w:name="_Toc147833571"/>
      <w:r w:rsidRPr="00BC14ED">
        <w:t>Risk management key function holder</w:t>
      </w:r>
      <w:bookmarkEnd w:id="9"/>
      <w:bookmarkEnd w:id="10"/>
    </w:p>
    <w:p w14:paraId="4B6EB717" w14:textId="3A1DFE6A" w:rsidR="00A15C51" w:rsidRPr="00E065C2" w:rsidRDefault="00AA3398" w:rsidP="00343964">
      <w:pPr>
        <w:kinsoku w:val="0"/>
        <w:overflowPunct w:val="0"/>
        <w:spacing w:after="240" w:line="276" w:lineRule="auto"/>
        <w:textAlignment w:val="baseline"/>
        <w:rPr>
          <w:rFonts w:cs="Arial"/>
          <w:bCs/>
          <w:lang w:val="en-GB"/>
        </w:rPr>
      </w:pPr>
      <w:r>
        <w:rPr>
          <w:rFonts w:cs="Arial"/>
        </w:rPr>
        <w:t>T</w:t>
      </w:r>
      <w:r w:rsidR="00F1349E" w:rsidRPr="00E065C2">
        <w:rPr>
          <w:rFonts w:cs="Arial"/>
        </w:rPr>
        <w:t>he risk management</w:t>
      </w:r>
      <w:r w:rsidR="00621A5B" w:rsidRPr="00E065C2">
        <w:rPr>
          <w:rFonts w:cs="Arial"/>
        </w:rPr>
        <w:t xml:space="preserve"> </w:t>
      </w:r>
      <w:r w:rsidR="00F1349E" w:rsidRPr="00E065C2">
        <w:rPr>
          <w:rFonts w:cs="Arial"/>
        </w:rPr>
        <w:t xml:space="preserve">KFH </w:t>
      </w:r>
      <w:r>
        <w:rPr>
          <w:rFonts w:cs="Arial"/>
        </w:rPr>
        <w:t>must</w:t>
      </w:r>
      <w:r w:rsidRPr="00E065C2">
        <w:rPr>
          <w:rFonts w:cs="Arial"/>
        </w:rPr>
        <w:t xml:space="preserve"> </w:t>
      </w:r>
      <w:r w:rsidR="00F1349E" w:rsidRPr="00E065C2">
        <w:rPr>
          <w:rFonts w:cs="Arial"/>
        </w:rPr>
        <w:t>use their knowledge and experience to support the trustees</w:t>
      </w:r>
      <w:r w:rsidR="00F1349E" w:rsidRPr="00E065C2">
        <w:rPr>
          <w:rFonts w:cs="Arial"/>
          <w:bCs/>
          <w:lang w:val="en-GB"/>
        </w:rPr>
        <w:t xml:space="preserve"> </w:t>
      </w:r>
      <w:r w:rsidR="00881F02">
        <w:rPr>
          <w:rFonts w:cs="Arial"/>
          <w:bCs/>
          <w:lang w:val="en-GB"/>
        </w:rPr>
        <w:t xml:space="preserve">to carry out and document </w:t>
      </w:r>
      <w:r w:rsidR="00621A5B" w:rsidRPr="00E065C2">
        <w:rPr>
          <w:rFonts w:cs="Arial"/>
          <w:bCs/>
          <w:lang w:val="en-GB"/>
        </w:rPr>
        <w:t>the ORA</w:t>
      </w:r>
      <w:r w:rsidR="00F1349E" w:rsidRPr="00E065C2">
        <w:rPr>
          <w:rFonts w:cs="Arial"/>
          <w:bCs/>
          <w:lang w:val="en-GB"/>
        </w:rPr>
        <w:t>. The risk</w:t>
      </w:r>
      <w:r w:rsidR="00621A5B" w:rsidRPr="00E065C2">
        <w:rPr>
          <w:rFonts w:cs="Arial"/>
          <w:bCs/>
          <w:lang w:val="en-GB"/>
        </w:rPr>
        <w:t xml:space="preserve"> management</w:t>
      </w:r>
      <w:r w:rsidR="00F1349E" w:rsidRPr="00E065C2">
        <w:rPr>
          <w:rFonts w:cs="Arial"/>
          <w:bCs/>
          <w:lang w:val="en-GB"/>
        </w:rPr>
        <w:t xml:space="preserve"> KFH must support the preparation of the ORA in an objective and independent manner</w:t>
      </w:r>
      <w:r w:rsidR="00B37F5E" w:rsidRPr="00E065C2">
        <w:rPr>
          <w:rFonts w:cs="Arial"/>
          <w:bCs/>
          <w:lang w:val="en-GB"/>
        </w:rPr>
        <w:t xml:space="preserve">. </w:t>
      </w:r>
      <w:r>
        <w:rPr>
          <w:rFonts w:cs="Arial"/>
          <w:bCs/>
          <w:lang w:val="en-GB"/>
        </w:rPr>
        <w:t>Where appropriate, t</w:t>
      </w:r>
      <w:r w:rsidR="00B37F5E" w:rsidRPr="00E065C2">
        <w:rPr>
          <w:rFonts w:cs="Arial"/>
          <w:bCs/>
          <w:lang w:val="en-GB"/>
        </w:rPr>
        <w:t xml:space="preserve">he risk management KFH must </w:t>
      </w:r>
      <w:r w:rsidR="00F1349E" w:rsidRPr="00E065C2">
        <w:rPr>
          <w:rFonts w:cs="Arial"/>
          <w:bCs/>
          <w:lang w:val="en-GB"/>
        </w:rPr>
        <w:t xml:space="preserve">be </w:t>
      </w:r>
      <w:r w:rsidR="0002071D" w:rsidRPr="00E065C2">
        <w:rPr>
          <w:rFonts w:cs="Arial"/>
          <w:bCs/>
          <w:lang w:val="en-GB"/>
        </w:rPr>
        <w:t xml:space="preserve">prepared </w:t>
      </w:r>
      <w:r w:rsidR="00F1349E" w:rsidRPr="00E065C2">
        <w:rPr>
          <w:rFonts w:cs="Arial"/>
          <w:bCs/>
          <w:lang w:val="en-GB"/>
        </w:rPr>
        <w:t>to challenge</w:t>
      </w:r>
      <w:r w:rsidR="00A30A7A" w:rsidRPr="00E065C2">
        <w:rPr>
          <w:rFonts w:cs="Arial"/>
          <w:bCs/>
          <w:lang w:val="en-GB"/>
        </w:rPr>
        <w:t xml:space="preserve"> a</w:t>
      </w:r>
      <w:r w:rsidR="009774E4" w:rsidRPr="00E065C2">
        <w:rPr>
          <w:rFonts w:cs="Arial"/>
          <w:bCs/>
          <w:lang w:val="en-GB"/>
        </w:rPr>
        <w:t xml:space="preserve"> scheme</w:t>
      </w:r>
      <w:r w:rsidR="00A30A7A" w:rsidRPr="00E065C2">
        <w:rPr>
          <w:rFonts w:cs="Arial"/>
          <w:bCs/>
          <w:lang w:val="en-GB"/>
        </w:rPr>
        <w:t>’s</w:t>
      </w:r>
      <w:r w:rsidR="00E06BDB" w:rsidRPr="00E065C2">
        <w:rPr>
          <w:rFonts w:cs="Arial"/>
          <w:bCs/>
          <w:lang w:val="en-GB"/>
        </w:rPr>
        <w:t xml:space="preserve"> </w:t>
      </w:r>
      <w:r w:rsidR="00E06BDB" w:rsidRPr="00E065C2">
        <w:rPr>
          <w:rFonts w:cs="Arial"/>
          <w:bCs/>
          <w:lang w:val="en-GB"/>
        </w:rPr>
        <w:lastRenderedPageBreak/>
        <w:t>risk</w:t>
      </w:r>
      <w:r w:rsidR="009774E4" w:rsidRPr="00E065C2">
        <w:rPr>
          <w:rFonts w:cs="Arial"/>
          <w:bCs/>
          <w:lang w:val="en-GB"/>
        </w:rPr>
        <w:t xml:space="preserve"> management </w:t>
      </w:r>
      <w:r w:rsidR="00E06BDB" w:rsidRPr="00E065C2">
        <w:rPr>
          <w:rFonts w:cs="Arial"/>
          <w:bCs/>
          <w:lang w:val="en-GB"/>
        </w:rPr>
        <w:t>and</w:t>
      </w:r>
      <w:r w:rsidR="00A30A7A" w:rsidRPr="00E065C2">
        <w:rPr>
          <w:rFonts w:cs="Arial"/>
          <w:bCs/>
          <w:lang w:val="en-GB"/>
        </w:rPr>
        <w:t xml:space="preserve"> related</w:t>
      </w:r>
      <w:r w:rsidR="00E06BDB" w:rsidRPr="00E065C2">
        <w:rPr>
          <w:rFonts w:cs="Arial"/>
          <w:bCs/>
          <w:lang w:val="en-GB"/>
        </w:rPr>
        <w:t xml:space="preserve"> </w:t>
      </w:r>
      <w:r w:rsidR="00F1349E" w:rsidRPr="00E065C2">
        <w:rPr>
          <w:rFonts w:cs="Arial"/>
          <w:bCs/>
          <w:lang w:val="en-GB"/>
        </w:rPr>
        <w:t>decision-making processes</w:t>
      </w:r>
      <w:r w:rsidR="00B37F5E" w:rsidRPr="00E065C2">
        <w:rPr>
          <w:rFonts w:cs="Arial"/>
          <w:bCs/>
          <w:lang w:val="en-GB"/>
        </w:rPr>
        <w:t>, and the conclusions and decisions of the trustees</w:t>
      </w:r>
      <w:r w:rsidR="00E06BDB" w:rsidRPr="00E065C2">
        <w:rPr>
          <w:rFonts w:cs="Arial"/>
          <w:bCs/>
          <w:lang w:val="en-GB"/>
        </w:rPr>
        <w:t xml:space="preserve">. </w:t>
      </w:r>
    </w:p>
    <w:p w14:paraId="70A70FD9" w14:textId="0D6A3C3C" w:rsidR="006C63EF" w:rsidRPr="00BC14ED" w:rsidRDefault="006C63EF" w:rsidP="00343964">
      <w:pPr>
        <w:pStyle w:val="Heading3"/>
        <w:ind w:left="567" w:hanging="567"/>
      </w:pPr>
      <w:bookmarkStart w:id="11" w:name="_Toc147833269"/>
      <w:bookmarkStart w:id="12" w:name="_Toc147833572"/>
      <w:r w:rsidRPr="00BC14ED">
        <w:t>Process</w:t>
      </w:r>
      <w:bookmarkEnd w:id="11"/>
      <w:bookmarkEnd w:id="12"/>
    </w:p>
    <w:p w14:paraId="4378BD6F" w14:textId="3E2747EA" w:rsidR="00A30A7A" w:rsidRPr="00E065C2" w:rsidRDefault="00FD7D1A" w:rsidP="00343964">
      <w:pPr>
        <w:spacing w:after="240" w:line="276" w:lineRule="auto"/>
        <w:rPr>
          <w:rFonts w:cs="Arial"/>
          <w:bCs/>
          <w:lang w:val="en-GB"/>
        </w:rPr>
      </w:pPr>
      <w:r w:rsidRPr="00E065C2">
        <w:rPr>
          <w:rFonts w:cs="Arial"/>
          <w:bCs/>
          <w:lang w:val="en-GB"/>
        </w:rPr>
        <w:t>T</w:t>
      </w:r>
      <w:r w:rsidR="009C0D6E" w:rsidRPr="00E065C2">
        <w:rPr>
          <w:rFonts w:cs="Arial"/>
          <w:bCs/>
          <w:lang w:val="en-GB"/>
        </w:rPr>
        <w:t xml:space="preserve">rustees must have a documented ORA process to identify and assess scheme risks. </w:t>
      </w:r>
      <w:r w:rsidR="00D1055E" w:rsidRPr="00E065C2">
        <w:rPr>
          <w:rFonts w:eastAsia="Times New Roman" w:cs="Arial"/>
          <w:lang w:val="en-GB" w:eastAsia="en-GB"/>
        </w:rPr>
        <w:t>The</w:t>
      </w:r>
      <w:r w:rsidR="00D1055E" w:rsidRPr="00E065C2">
        <w:rPr>
          <w:rFonts w:cs="Arial"/>
          <w:bCs/>
          <w:lang w:val="en-GB"/>
        </w:rPr>
        <w:t xml:space="preserve"> ORA</w:t>
      </w:r>
      <w:r w:rsidR="008C6264" w:rsidRPr="00E065C2">
        <w:rPr>
          <w:rFonts w:cs="Arial"/>
          <w:bCs/>
          <w:lang w:val="en-GB"/>
        </w:rPr>
        <w:t xml:space="preserve"> process </w:t>
      </w:r>
      <w:r w:rsidR="00D10442" w:rsidRPr="00E065C2">
        <w:rPr>
          <w:rFonts w:cs="Arial"/>
          <w:bCs/>
          <w:lang w:val="en-GB"/>
        </w:rPr>
        <w:t xml:space="preserve">must </w:t>
      </w:r>
      <w:r w:rsidR="008045F1">
        <w:rPr>
          <w:rFonts w:cs="Arial"/>
          <w:bCs/>
          <w:lang w:val="en-GB"/>
        </w:rPr>
        <w:t>take account of</w:t>
      </w:r>
      <w:r w:rsidR="00D1055E" w:rsidRPr="00E065C2">
        <w:rPr>
          <w:rFonts w:cs="Arial"/>
          <w:bCs/>
          <w:lang w:val="en-GB"/>
        </w:rPr>
        <w:t xml:space="preserve"> the scheme’s size, nature, scale, and complexity</w:t>
      </w:r>
      <w:r w:rsidR="00193079">
        <w:rPr>
          <w:rFonts w:cs="Arial"/>
          <w:bCs/>
          <w:lang w:val="en-GB"/>
        </w:rPr>
        <w:t>,</w:t>
      </w:r>
      <w:r w:rsidR="00B119FA" w:rsidRPr="00E065C2">
        <w:rPr>
          <w:rFonts w:cs="Arial"/>
          <w:bCs/>
          <w:lang w:val="en-GB"/>
        </w:rPr>
        <w:t xml:space="preserve"> and h</w:t>
      </w:r>
      <w:r w:rsidR="00D1055E" w:rsidRPr="00E065C2">
        <w:rPr>
          <w:rFonts w:cs="Arial"/>
          <w:bCs/>
          <w:lang w:val="en-GB"/>
        </w:rPr>
        <w:t xml:space="preserve">ow the ORA has been tailored to suit the specific scheme should </w:t>
      </w:r>
      <w:r w:rsidR="008660DB" w:rsidRPr="00E065C2">
        <w:rPr>
          <w:rFonts w:cs="Arial"/>
          <w:bCs/>
          <w:lang w:val="en-GB"/>
        </w:rPr>
        <w:t>be clear</w:t>
      </w:r>
      <w:r w:rsidR="009346B5" w:rsidRPr="00E065C2">
        <w:rPr>
          <w:rFonts w:cs="Arial"/>
          <w:bCs/>
          <w:lang w:val="en-GB"/>
        </w:rPr>
        <w:t>ly documented</w:t>
      </w:r>
      <w:r w:rsidR="008660DB" w:rsidRPr="00E065C2">
        <w:rPr>
          <w:rFonts w:cs="Arial"/>
          <w:bCs/>
          <w:lang w:val="en-GB"/>
        </w:rPr>
        <w:t xml:space="preserve">. </w:t>
      </w:r>
    </w:p>
    <w:p w14:paraId="2A26F8F3" w14:textId="258BC08F" w:rsidR="00A17DE9" w:rsidRPr="00E065C2" w:rsidRDefault="009C0D6E" w:rsidP="00343964">
      <w:pPr>
        <w:spacing w:after="240" w:line="276" w:lineRule="auto"/>
        <w:rPr>
          <w:rFonts w:cs="Arial"/>
          <w:bCs/>
          <w:lang w:val="en-GB"/>
        </w:rPr>
      </w:pPr>
      <w:r w:rsidRPr="00E065C2">
        <w:rPr>
          <w:rFonts w:cs="Arial"/>
          <w:bCs/>
          <w:lang w:val="en-GB"/>
        </w:rPr>
        <w:t>The ORA process</w:t>
      </w:r>
      <w:r w:rsidR="00E16F82" w:rsidRPr="00E065C2">
        <w:rPr>
          <w:rFonts w:cs="Arial"/>
          <w:bCs/>
          <w:lang w:val="en-GB"/>
        </w:rPr>
        <w:t xml:space="preserve"> forms part of the </w:t>
      </w:r>
      <w:r w:rsidR="00193079">
        <w:rPr>
          <w:rFonts w:cs="Arial"/>
          <w:bCs/>
          <w:lang w:val="en-GB"/>
        </w:rPr>
        <w:t>s</w:t>
      </w:r>
      <w:r w:rsidR="00E16F82" w:rsidRPr="00E065C2">
        <w:rPr>
          <w:rFonts w:cs="Arial"/>
          <w:bCs/>
          <w:lang w:val="en-GB"/>
        </w:rPr>
        <w:t xml:space="preserve">cheme’s wider risk management function although it must be run as a stand-alone, time specific </w:t>
      </w:r>
      <w:r w:rsidR="00FD7D1A" w:rsidRPr="00E065C2">
        <w:rPr>
          <w:rFonts w:cs="Arial"/>
          <w:bCs/>
          <w:lang w:val="en-GB"/>
        </w:rPr>
        <w:t>task</w:t>
      </w:r>
      <w:r w:rsidR="00E16F82" w:rsidRPr="00E065C2">
        <w:rPr>
          <w:rFonts w:cs="Arial"/>
          <w:bCs/>
          <w:lang w:val="en-GB"/>
        </w:rPr>
        <w:t>.</w:t>
      </w:r>
    </w:p>
    <w:p w14:paraId="3CAA53E7" w14:textId="62E0DF0E" w:rsidR="006C63EF" w:rsidRPr="00BC14ED" w:rsidRDefault="006C63EF" w:rsidP="00343964">
      <w:pPr>
        <w:pStyle w:val="Heading3"/>
        <w:ind w:left="567" w:hanging="567"/>
      </w:pPr>
      <w:bookmarkStart w:id="13" w:name="_Toc147833270"/>
      <w:bookmarkStart w:id="14" w:name="_Toc147833573"/>
      <w:r w:rsidRPr="00BC14ED">
        <w:t>Timing</w:t>
      </w:r>
      <w:bookmarkEnd w:id="13"/>
      <w:bookmarkEnd w:id="14"/>
    </w:p>
    <w:p w14:paraId="26D53841" w14:textId="6ACB5307" w:rsidR="00553555" w:rsidRPr="00E065C2" w:rsidRDefault="00705F71" w:rsidP="00343964">
      <w:pPr>
        <w:spacing w:after="240" w:line="276" w:lineRule="auto"/>
        <w:rPr>
          <w:rFonts w:cs="Arial"/>
          <w:bCs/>
          <w:lang w:val="en-GB"/>
        </w:rPr>
      </w:pPr>
      <w:r w:rsidRPr="00E065C2">
        <w:rPr>
          <w:rFonts w:cs="Arial"/>
          <w:bCs/>
          <w:lang w:val="en-GB"/>
        </w:rPr>
        <w:t xml:space="preserve">Trustees must carry out a full ORA at least once every three years. </w:t>
      </w:r>
      <w:r w:rsidRPr="00E065C2">
        <w:rPr>
          <w:rFonts w:eastAsia="Times New Roman" w:cs="Arial"/>
          <w:lang w:val="en-GB" w:eastAsia="en-GB"/>
        </w:rPr>
        <w:t>However, i</w:t>
      </w:r>
      <w:r w:rsidR="00701F80" w:rsidRPr="00E065C2">
        <w:rPr>
          <w:rFonts w:eastAsia="Times New Roman" w:cs="Arial"/>
          <w:lang w:val="en-GB" w:eastAsia="en-GB"/>
        </w:rPr>
        <w:t>n</w:t>
      </w:r>
      <w:r w:rsidR="00553555" w:rsidRPr="00E065C2">
        <w:rPr>
          <w:rFonts w:eastAsia="Times New Roman" w:cs="Arial"/>
          <w:lang w:val="en-GB" w:eastAsia="en-GB"/>
        </w:rPr>
        <w:t xml:space="preserve"> the event of any significant change to the scheme</w:t>
      </w:r>
      <w:r w:rsidR="00565D17">
        <w:rPr>
          <w:rFonts w:eastAsia="Times New Roman" w:cs="Arial"/>
          <w:lang w:val="en-GB" w:eastAsia="en-GB"/>
        </w:rPr>
        <w:t>’s</w:t>
      </w:r>
      <w:r w:rsidR="00553555" w:rsidRPr="00E065C2">
        <w:rPr>
          <w:rFonts w:eastAsia="Times New Roman" w:cs="Arial"/>
          <w:lang w:val="en-GB" w:eastAsia="en-GB"/>
        </w:rPr>
        <w:t xml:space="preserve"> risk profile, an updated ORA should be completed without delay and within three months of the change.</w:t>
      </w:r>
      <w:r w:rsidR="00B323E0" w:rsidRPr="00E065C2">
        <w:rPr>
          <w:rFonts w:eastAsia="Times New Roman" w:cs="Arial"/>
          <w:lang w:val="en-GB" w:eastAsia="en-GB"/>
        </w:rPr>
        <w:t xml:space="preserve"> </w:t>
      </w:r>
      <w:r w:rsidR="005F7CD3">
        <w:rPr>
          <w:rFonts w:eastAsia="Times New Roman" w:cs="Arial"/>
          <w:lang w:val="en-GB" w:eastAsia="en-GB"/>
        </w:rPr>
        <w:t>W</w:t>
      </w:r>
      <w:r w:rsidR="00927226" w:rsidRPr="00E065C2">
        <w:rPr>
          <w:rFonts w:eastAsia="Times New Roman" w:cs="Arial"/>
          <w:lang w:val="en-GB" w:eastAsia="en-GB"/>
        </w:rPr>
        <w:t>here it is considered appropriate by the trustees, the ORA</w:t>
      </w:r>
      <w:r w:rsidR="005F7CD3">
        <w:rPr>
          <w:rFonts w:eastAsia="Times New Roman" w:cs="Arial"/>
          <w:lang w:val="en-GB" w:eastAsia="en-GB"/>
        </w:rPr>
        <w:t xml:space="preserve"> update</w:t>
      </w:r>
      <w:r w:rsidR="00927226" w:rsidRPr="00E065C2">
        <w:rPr>
          <w:rFonts w:eastAsia="Times New Roman" w:cs="Arial"/>
          <w:lang w:val="en-GB" w:eastAsia="en-GB"/>
        </w:rPr>
        <w:t xml:space="preserve"> may be limited to the assessment of the risks impacted by the change. A ‘significant change’ ORA does not satisfy the requirement to carry out a full ORA</w:t>
      </w:r>
      <w:r w:rsidR="00565D17">
        <w:rPr>
          <w:rFonts w:eastAsia="Times New Roman" w:cs="Arial"/>
          <w:lang w:val="en-GB" w:eastAsia="en-GB"/>
        </w:rPr>
        <w:t>,</w:t>
      </w:r>
      <w:r w:rsidR="00927226" w:rsidRPr="00E065C2">
        <w:rPr>
          <w:rFonts w:eastAsia="Times New Roman" w:cs="Arial"/>
          <w:lang w:val="en-GB" w:eastAsia="en-GB"/>
        </w:rPr>
        <w:t xml:space="preserve"> which must continue to be completed at least once every three years.</w:t>
      </w:r>
    </w:p>
    <w:p w14:paraId="5D3FE9BC" w14:textId="6A6478D5" w:rsidR="00553555" w:rsidRPr="00E065C2" w:rsidRDefault="00553555" w:rsidP="00343964">
      <w:p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 w:rsidRPr="00E065C2">
        <w:rPr>
          <w:rFonts w:eastAsia="Times New Roman" w:cs="Arial"/>
          <w:lang w:val="en-GB" w:eastAsia="en-GB"/>
        </w:rPr>
        <w:t xml:space="preserve">Significant changes to the scheme’s risk profile may arise </w:t>
      </w:r>
      <w:r w:rsidR="00E80680" w:rsidRPr="00E065C2">
        <w:rPr>
          <w:rFonts w:eastAsia="Times New Roman" w:cs="Arial"/>
          <w:lang w:val="en-GB" w:eastAsia="en-GB"/>
        </w:rPr>
        <w:t xml:space="preserve">from </w:t>
      </w:r>
      <w:r w:rsidRPr="00E065C2">
        <w:rPr>
          <w:rFonts w:eastAsia="Times New Roman" w:cs="Arial"/>
          <w:lang w:val="en-GB" w:eastAsia="en-GB"/>
        </w:rPr>
        <w:t xml:space="preserve">internal factors such as </w:t>
      </w:r>
      <w:r w:rsidR="0029509A" w:rsidRPr="00E065C2">
        <w:rPr>
          <w:rFonts w:eastAsia="Times New Roman" w:cs="Arial"/>
          <w:lang w:val="en-GB" w:eastAsia="en-GB"/>
        </w:rPr>
        <w:t xml:space="preserve">significant </w:t>
      </w:r>
      <w:r w:rsidRPr="00E065C2">
        <w:rPr>
          <w:rFonts w:eastAsia="Times New Roman" w:cs="Arial"/>
          <w:lang w:val="en-GB" w:eastAsia="en-GB"/>
        </w:rPr>
        <w:t>changes to scheme rules,</w:t>
      </w:r>
      <w:r w:rsidR="0029509A" w:rsidRPr="00E065C2">
        <w:rPr>
          <w:rFonts w:eastAsia="Times New Roman" w:cs="Arial"/>
          <w:lang w:val="en-GB" w:eastAsia="en-GB"/>
        </w:rPr>
        <w:t xml:space="preserve"> procedures or governance, </w:t>
      </w:r>
      <w:r w:rsidRPr="00E065C2">
        <w:rPr>
          <w:rFonts w:eastAsia="Times New Roman" w:cs="Arial"/>
          <w:lang w:val="en-GB" w:eastAsia="en-GB"/>
        </w:rPr>
        <w:t>changes to investment policy</w:t>
      </w:r>
      <w:r w:rsidR="0029509A" w:rsidRPr="00E065C2">
        <w:rPr>
          <w:rFonts w:eastAsia="Times New Roman" w:cs="Arial"/>
          <w:lang w:val="en-GB" w:eastAsia="en-GB"/>
        </w:rPr>
        <w:t xml:space="preserve"> or</w:t>
      </w:r>
      <w:r w:rsidRPr="00E065C2">
        <w:rPr>
          <w:rFonts w:eastAsia="Times New Roman" w:cs="Arial"/>
          <w:lang w:val="en-GB" w:eastAsia="en-GB"/>
        </w:rPr>
        <w:t xml:space="preserve"> employer covenant changes</w:t>
      </w:r>
      <w:r w:rsidR="00870D67" w:rsidRPr="00E065C2">
        <w:rPr>
          <w:rFonts w:eastAsia="Times New Roman" w:cs="Arial"/>
          <w:lang w:val="en-GB" w:eastAsia="en-GB"/>
        </w:rPr>
        <w:t xml:space="preserve">. Significant changes to the scheme’s risk profile may </w:t>
      </w:r>
      <w:r w:rsidR="007E0489" w:rsidRPr="00E065C2">
        <w:rPr>
          <w:rFonts w:eastAsia="Times New Roman" w:cs="Arial"/>
          <w:lang w:val="en-GB" w:eastAsia="en-GB"/>
        </w:rPr>
        <w:t xml:space="preserve">also </w:t>
      </w:r>
      <w:r w:rsidR="00870D67" w:rsidRPr="00E065C2">
        <w:rPr>
          <w:rFonts w:eastAsia="Times New Roman" w:cs="Arial"/>
          <w:lang w:val="en-GB" w:eastAsia="en-GB"/>
        </w:rPr>
        <w:t>arise from e</w:t>
      </w:r>
      <w:r w:rsidRPr="00E065C2">
        <w:rPr>
          <w:rFonts w:eastAsia="Times New Roman" w:cs="Arial"/>
          <w:lang w:val="en-GB" w:eastAsia="en-GB"/>
        </w:rPr>
        <w:t>xternal factors such as</w:t>
      </w:r>
      <w:r w:rsidR="00565D17">
        <w:rPr>
          <w:rFonts w:eastAsia="Times New Roman" w:cs="Arial"/>
          <w:lang w:val="en-GB" w:eastAsia="en-GB"/>
        </w:rPr>
        <w:t xml:space="preserve"> the</w:t>
      </w:r>
      <w:r w:rsidRPr="00E065C2">
        <w:rPr>
          <w:rFonts w:eastAsia="Times New Roman" w:cs="Arial"/>
          <w:lang w:val="en-GB" w:eastAsia="en-GB"/>
        </w:rPr>
        <w:t xml:space="preserve"> financial market</w:t>
      </w:r>
      <w:r w:rsidR="00115B9C" w:rsidRPr="00E065C2">
        <w:rPr>
          <w:rFonts w:eastAsia="Times New Roman" w:cs="Arial"/>
          <w:lang w:val="en-GB" w:eastAsia="en-GB"/>
        </w:rPr>
        <w:t xml:space="preserve">, </w:t>
      </w:r>
      <w:r w:rsidR="00565D17">
        <w:rPr>
          <w:rFonts w:eastAsia="Times New Roman" w:cs="Arial"/>
          <w:lang w:val="en-GB" w:eastAsia="en-GB"/>
        </w:rPr>
        <w:t>international public</w:t>
      </w:r>
      <w:r w:rsidR="00565D17" w:rsidRPr="00E065C2">
        <w:rPr>
          <w:rFonts w:eastAsia="Times New Roman" w:cs="Arial"/>
          <w:lang w:val="en-GB" w:eastAsia="en-GB"/>
        </w:rPr>
        <w:t xml:space="preserve"> </w:t>
      </w:r>
      <w:r w:rsidR="00115B9C" w:rsidRPr="00E065C2">
        <w:rPr>
          <w:rFonts w:eastAsia="Times New Roman" w:cs="Arial"/>
          <w:lang w:val="en-GB" w:eastAsia="en-GB"/>
        </w:rPr>
        <w:t>health</w:t>
      </w:r>
      <w:r w:rsidR="00565D17">
        <w:rPr>
          <w:rFonts w:eastAsia="Times New Roman" w:cs="Arial"/>
          <w:lang w:val="en-GB" w:eastAsia="en-GB"/>
        </w:rPr>
        <w:t xml:space="preserve"> events</w:t>
      </w:r>
      <w:r w:rsidR="00115B9C" w:rsidRPr="00E065C2">
        <w:rPr>
          <w:rFonts w:eastAsia="Times New Roman" w:cs="Arial"/>
          <w:lang w:val="en-GB" w:eastAsia="en-GB"/>
        </w:rPr>
        <w:t xml:space="preserve"> or significant geo-political shocks</w:t>
      </w:r>
      <w:r w:rsidRPr="00E065C2">
        <w:rPr>
          <w:rFonts w:eastAsia="Times New Roman" w:cs="Arial"/>
          <w:lang w:val="en-GB" w:eastAsia="en-GB"/>
        </w:rPr>
        <w:t>, changing legislation and regulation, service provider changes or major service issues</w:t>
      </w:r>
      <w:r w:rsidR="001B611D" w:rsidRPr="00E065C2">
        <w:rPr>
          <w:rFonts w:eastAsia="Times New Roman" w:cs="Arial"/>
          <w:lang w:val="en-GB" w:eastAsia="en-GB"/>
        </w:rPr>
        <w:t>.</w:t>
      </w:r>
    </w:p>
    <w:p w14:paraId="3660E342" w14:textId="08E86855" w:rsidR="00890BF5" w:rsidRPr="00BC14ED" w:rsidRDefault="00890BF5" w:rsidP="00343964">
      <w:pPr>
        <w:pStyle w:val="Heading3"/>
        <w:ind w:left="567" w:hanging="567"/>
      </w:pPr>
      <w:bookmarkStart w:id="15" w:name="_Toc147833271"/>
      <w:bookmarkStart w:id="16" w:name="_Toc147833574"/>
      <w:r w:rsidRPr="00BC14ED">
        <w:t>Risk identification</w:t>
      </w:r>
      <w:bookmarkEnd w:id="15"/>
      <w:bookmarkEnd w:id="16"/>
    </w:p>
    <w:p w14:paraId="0B0332CA" w14:textId="764D28C8" w:rsidR="00106F18" w:rsidRDefault="00B60BD4" w:rsidP="00343964">
      <w:pPr>
        <w:spacing w:after="240" w:line="276" w:lineRule="auto"/>
        <w:rPr>
          <w:rFonts w:cs="Arial"/>
          <w:bCs/>
          <w:lang w:val="en-GB"/>
        </w:rPr>
      </w:pPr>
      <w:r w:rsidRPr="00E065C2">
        <w:rPr>
          <w:rFonts w:eastAsia="Times New Roman" w:cs="Arial"/>
          <w:lang w:val="en-GB" w:eastAsia="en-GB"/>
        </w:rPr>
        <w:t>As part of the ORA process</w:t>
      </w:r>
      <w:r w:rsidR="006D1744" w:rsidRPr="00E065C2">
        <w:rPr>
          <w:rFonts w:eastAsia="Times New Roman" w:cs="Arial"/>
          <w:lang w:val="en-GB" w:eastAsia="en-GB"/>
        </w:rPr>
        <w:t>, the</w:t>
      </w:r>
      <w:r w:rsidR="006C63EF" w:rsidRPr="00E065C2">
        <w:rPr>
          <w:rFonts w:eastAsia="Times New Roman" w:cs="Arial"/>
          <w:lang w:val="en-GB" w:eastAsia="en-GB"/>
        </w:rPr>
        <w:t xml:space="preserve"> nature of the scheme,</w:t>
      </w:r>
      <w:r w:rsidR="006D1744" w:rsidRPr="00E065C2">
        <w:rPr>
          <w:rFonts w:eastAsia="Times New Roman" w:cs="Arial"/>
          <w:lang w:val="en-GB" w:eastAsia="en-GB"/>
        </w:rPr>
        <w:t xml:space="preserve"> </w:t>
      </w:r>
      <w:r w:rsidR="005F1B0F" w:rsidRPr="00E065C2">
        <w:rPr>
          <w:rFonts w:cs="Arial"/>
          <w:bCs/>
          <w:lang w:val="en-GB"/>
        </w:rPr>
        <w:t xml:space="preserve">including whether it is a </w:t>
      </w:r>
      <w:r w:rsidR="0091215A" w:rsidRPr="00E065C2">
        <w:rPr>
          <w:rFonts w:cs="Arial"/>
          <w:bCs/>
          <w:lang w:val="en-GB"/>
        </w:rPr>
        <w:t>defined contribution</w:t>
      </w:r>
      <w:r w:rsidR="00193079">
        <w:rPr>
          <w:rFonts w:cs="Arial"/>
          <w:bCs/>
          <w:lang w:val="en-GB"/>
        </w:rPr>
        <w:t xml:space="preserve"> scheme</w:t>
      </w:r>
      <w:r w:rsidR="006D1744" w:rsidRPr="00E065C2">
        <w:rPr>
          <w:rFonts w:cs="Arial"/>
          <w:bCs/>
          <w:lang w:val="en-GB"/>
        </w:rPr>
        <w:t>,</w:t>
      </w:r>
      <w:r w:rsidR="00193079">
        <w:rPr>
          <w:rFonts w:cs="Arial"/>
          <w:bCs/>
          <w:lang w:val="en-GB"/>
        </w:rPr>
        <w:t xml:space="preserve"> a</w:t>
      </w:r>
      <w:r w:rsidR="0091215A" w:rsidRPr="00E065C2">
        <w:rPr>
          <w:rFonts w:cs="Arial"/>
          <w:bCs/>
          <w:lang w:val="en-GB"/>
        </w:rPr>
        <w:t xml:space="preserve"> master trust</w:t>
      </w:r>
      <w:r w:rsidR="005F1B0F" w:rsidRPr="00E065C2">
        <w:rPr>
          <w:rFonts w:cs="Arial"/>
          <w:bCs/>
          <w:lang w:val="en-GB"/>
        </w:rPr>
        <w:t xml:space="preserve"> or</w:t>
      </w:r>
      <w:r w:rsidR="00CB174F" w:rsidRPr="00E065C2">
        <w:rPr>
          <w:rFonts w:cs="Arial"/>
          <w:bCs/>
          <w:lang w:val="en-GB"/>
        </w:rPr>
        <w:t xml:space="preserve"> </w:t>
      </w:r>
      <w:r w:rsidR="00EC3955" w:rsidRPr="00E065C2">
        <w:rPr>
          <w:rFonts w:cs="Arial"/>
          <w:bCs/>
          <w:lang w:val="en-GB"/>
        </w:rPr>
        <w:t>defined benefit</w:t>
      </w:r>
      <w:r w:rsidR="005F1B0F" w:rsidRPr="00E065C2">
        <w:rPr>
          <w:rFonts w:cs="Arial"/>
          <w:bCs/>
          <w:lang w:val="en-GB"/>
        </w:rPr>
        <w:t xml:space="preserve"> scheme</w:t>
      </w:r>
      <w:r w:rsidR="008A20F8" w:rsidRPr="00E065C2">
        <w:rPr>
          <w:rFonts w:cs="Arial"/>
          <w:bCs/>
          <w:lang w:val="en-GB"/>
        </w:rPr>
        <w:t xml:space="preserve"> should be </w:t>
      </w:r>
      <w:r w:rsidR="00375FCE">
        <w:rPr>
          <w:rFonts w:cs="Arial"/>
          <w:bCs/>
          <w:lang w:val="en-GB"/>
        </w:rPr>
        <w:t>considered</w:t>
      </w:r>
      <w:r w:rsidR="005F1B0F" w:rsidRPr="00E065C2">
        <w:rPr>
          <w:rFonts w:cs="Arial"/>
          <w:bCs/>
          <w:lang w:val="en-GB"/>
        </w:rPr>
        <w:t xml:space="preserve">. </w:t>
      </w:r>
      <w:r w:rsidR="008D1C52" w:rsidRPr="00E065C2">
        <w:rPr>
          <w:rFonts w:cs="Arial"/>
          <w:bCs/>
          <w:lang w:val="en-GB"/>
        </w:rPr>
        <w:t>S</w:t>
      </w:r>
      <w:r w:rsidR="00EC3955" w:rsidRPr="00E065C2">
        <w:rPr>
          <w:rFonts w:cs="Arial"/>
          <w:bCs/>
          <w:lang w:val="en-GB"/>
        </w:rPr>
        <w:t>ome issues and</w:t>
      </w:r>
      <w:r w:rsidR="00583072" w:rsidRPr="00E065C2">
        <w:rPr>
          <w:rFonts w:cs="Arial"/>
          <w:bCs/>
          <w:lang w:val="en-GB"/>
        </w:rPr>
        <w:t xml:space="preserve"> </w:t>
      </w:r>
      <w:r w:rsidR="00D60BA3" w:rsidRPr="00E065C2">
        <w:rPr>
          <w:rFonts w:cs="Arial"/>
          <w:bCs/>
          <w:lang w:val="en-GB"/>
        </w:rPr>
        <w:t>examples of risks</w:t>
      </w:r>
      <w:r w:rsidR="00916D87" w:rsidRPr="00E065C2">
        <w:rPr>
          <w:rFonts w:cs="Arial"/>
          <w:bCs/>
          <w:lang w:val="en-GB"/>
        </w:rPr>
        <w:t xml:space="preserve"> that a</w:t>
      </w:r>
      <w:r w:rsidR="0021002C" w:rsidRPr="00E065C2">
        <w:rPr>
          <w:rFonts w:cs="Arial"/>
          <w:bCs/>
          <w:lang w:val="en-GB"/>
        </w:rPr>
        <w:t xml:space="preserve">pply </w:t>
      </w:r>
      <w:r w:rsidR="00D60BA3" w:rsidRPr="00E065C2">
        <w:rPr>
          <w:rFonts w:cs="Arial"/>
          <w:bCs/>
          <w:lang w:val="en-GB"/>
        </w:rPr>
        <w:t xml:space="preserve">to </w:t>
      </w:r>
      <w:r w:rsidR="0063298E" w:rsidRPr="00E065C2">
        <w:rPr>
          <w:rFonts w:cs="Arial"/>
          <w:bCs/>
          <w:lang w:val="en-GB"/>
        </w:rPr>
        <w:t>these schemes</w:t>
      </w:r>
      <w:r w:rsidR="00916D87" w:rsidRPr="00E065C2">
        <w:rPr>
          <w:rFonts w:cs="Arial"/>
          <w:bCs/>
          <w:lang w:val="en-GB"/>
        </w:rPr>
        <w:t xml:space="preserve"> for consideration by trustees</w:t>
      </w:r>
      <w:r w:rsidR="008D1C52" w:rsidRPr="00E065C2">
        <w:rPr>
          <w:rFonts w:cs="Arial"/>
          <w:bCs/>
          <w:lang w:val="en-GB"/>
        </w:rPr>
        <w:t xml:space="preserve"> are set out below</w:t>
      </w:r>
      <w:r w:rsidR="00F12DA9" w:rsidRPr="00E065C2">
        <w:rPr>
          <w:rFonts w:cs="Arial"/>
          <w:bCs/>
          <w:lang w:val="en-GB"/>
        </w:rPr>
        <w:t xml:space="preserve">. </w:t>
      </w:r>
      <w:r w:rsidR="00D60BA3" w:rsidRPr="00E065C2">
        <w:rPr>
          <w:rFonts w:cs="Arial"/>
          <w:bCs/>
          <w:lang w:val="en-GB"/>
        </w:rPr>
        <w:t>This is not a comprehensive list</w:t>
      </w:r>
      <w:r w:rsidR="00F12DA9" w:rsidRPr="00E065C2">
        <w:rPr>
          <w:rFonts w:cs="Arial"/>
          <w:bCs/>
          <w:lang w:val="en-GB"/>
        </w:rPr>
        <w:t xml:space="preserve"> of risks and trustees should consider </w:t>
      </w:r>
      <w:r w:rsidR="00916D87" w:rsidRPr="00E065C2">
        <w:rPr>
          <w:rFonts w:cs="Arial"/>
          <w:bCs/>
          <w:lang w:val="en-GB"/>
        </w:rPr>
        <w:t xml:space="preserve">all </w:t>
      </w:r>
      <w:r w:rsidR="008A20F8" w:rsidRPr="00E065C2">
        <w:rPr>
          <w:rFonts w:cs="Arial"/>
          <w:bCs/>
          <w:lang w:val="en-GB"/>
        </w:rPr>
        <w:t xml:space="preserve">issues and </w:t>
      </w:r>
      <w:r w:rsidR="00F12DA9" w:rsidRPr="00E065C2">
        <w:rPr>
          <w:rFonts w:cs="Arial"/>
          <w:bCs/>
          <w:lang w:val="en-GB"/>
        </w:rPr>
        <w:t>risks that</w:t>
      </w:r>
      <w:r w:rsidR="00916D87" w:rsidRPr="00E065C2">
        <w:rPr>
          <w:rFonts w:cs="Arial"/>
          <w:bCs/>
          <w:lang w:val="en-GB"/>
        </w:rPr>
        <w:t xml:space="preserve"> may</w:t>
      </w:r>
      <w:r w:rsidR="00F12DA9" w:rsidRPr="00E065C2">
        <w:rPr>
          <w:rFonts w:cs="Arial"/>
          <w:bCs/>
          <w:lang w:val="en-GB"/>
        </w:rPr>
        <w:t xml:space="preserve"> apply to their scheme. </w:t>
      </w:r>
    </w:p>
    <w:p w14:paraId="2109B18B" w14:textId="4A7B3FDA" w:rsidR="00126287" w:rsidRPr="00BC14ED" w:rsidRDefault="00126287" w:rsidP="00343964">
      <w:pPr>
        <w:pStyle w:val="Heading4"/>
        <w:numPr>
          <w:ilvl w:val="1"/>
          <w:numId w:val="32"/>
        </w:numPr>
        <w:ind w:left="567" w:hanging="567"/>
      </w:pPr>
      <w:bookmarkStart w:id="17" w:name="_Toc147833272"/>
      <w:bookmarkStart w:id="18" w:name="_Toc147833575"/>
      <w:r w:rsidRPr="00BC14ED">
        <w:t>Defined contribution schemes</w:t>
      </w:r>
      <w:bookmarkEnd w:id="17"/>
      <w:bookmarkEnd w:id="18"/>
    </w:p>
    <w:p w14:paraId="75E5624C" w14:textId="7D66ED1C" w:rsidR="00126287" w:rsidRPr="00E065C2" w:rsidRDefault="005F7CD3" w:rsidP="00343964">
      <w:pPr>
        <w:spacing w:after="240" w:line="276" w:lineRule="auto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>C</w:t>
      </w:r>
      <w:r w:rsidR="0021002C" w:rsidRPr="00E065C2">
        <w:rPr>
          <w:rFonts w:cs="Arial"/>
          <w:bCs/>
          <w:lang w:val="en-GB"/>
        </w:rPr>
        <w:t xml:space="preserve">onsideration of </w:t>
      </w:r>
      <w:r w:rsidR="0021002C" w:rsidRPr="00E065C2">
        <w:rPr>
          <w:rFonts w:cs="Arial"/>
        </w:rPr>
        <w:t>investment risk in the ORA should be no less thorough for defined contribution schemes than for defined benefit schemes.</w:t>
      </w:r>
      <w:r w:rsidR="003612E6" w:rsidRPr="00E065C2">
        <w:rPr>
          <w:rFonts w:cs="Arial"/>
        </w:rPr>
        <w:t xml:space="preserve"> </w:t>
      </w:r>
      <w:r w:rsidR="00126287" w:rsidRPr="00E065C2">
        <w:rPr>
          <w:rFonts w:cs="Arial"/>
          <w:bCs/>
          <w:lang w:val="en-GB"/>
        </w:rPr>
        <w:t>Trustees of defined contribution schemes must assess</w:t>
      </w:r>
      <w:r w:rsidR="007742EA">
        <w:rPr>
          <w:rFonts w:cs="Arial"/>
          <w:bCs/>
          <w:lang w:val="en-GB"/>
        </w:rPr>
        <w:t xml:space="preserve"> the risks to member outcomes arising from</w:t>
      </w:r>
      <w:r w:rsidR="00476E58" w:rsidRPr="00E065C2">
        <w:rPr>
          <w:rFonts w:cs="Arial"/>
          <w:bCs/>
          <w:lang w:val="en-GB"/>
        </w:rPr>
        <w:t xml:space="preserve"> </w:t>
      </w:r>
      <w:r w:rsidR="00126287" w:rsidRPr="00E065C2">
        <w:rPr>
          <w:rFonts w:cs="Arial"/>
          <w:bCs/>
          <w:lang w:val="en-GB"/>
        </w:rPr>
        <w:t xml:space="preserve">the </w:t>
      </w:r>
      <w:r w:rsidR="00294EBD" w:rsidRPr="00E065C2">
        <w:rPr>
          <w:rFonts w:cs="Arial"/>
          <w:bCs/>
          <w:lang w:val="en-GB"/>
        </w:rPr>
        <w:t xml:space="preserve">scheme’s </w:t>
      </w:r>
      <w:r w:rsidR="00126287" w:rsidRPr="00E065C2">
        <w:rPr>
          <w:rFonts w:cs="Arial"/>
          <w:bCs/>
          <w:lang w:val="en-GB"/>
        </w:rPr>
        <w:t>investment</w:t>
      </w:r>
      <w:r w:rsidR="00375FCE">
        <w:rPr>
          <w:rFonts w:cs="Arial"/>
          <w:bCs/>
          <w:lang w:val="en-GB"/>
        </w:rPr>
        <w:t>.</w:t>
      </w:r>
      <w:r w:rsidR="00126287" w:rsidRPr="00E065C2">
        <w:rPr>
          <w:rFonts w:cs="Arial"/>
          <w:bCs/>
          <w:lang w:val="en-GB"/>
        </w:rPr>
        <w:t xml:space="preserve"> This</w:t>
      </w:r>
      <w:r w:rsidR="00375FCE">
        <w:rPr>
          <w:rFonts w:cs="Arial"/>
          <w:bCs/>
          <w:lang w:val="en-GB"/>
        </w:rPr>
        <w:t xml:space="preserve"> </w:t>
      </w:r>
      <w:r w:rsidR="00126287" w:rsidRPr="00E065C2">
        <w:rPr>
          <w:rFonts w:cs="Arial"/>
          <w:bCs/>
          <w:lang w:val="en-GB"/>
        </w:rPr>
        <w:t>assessment should</w:t>
      </w:r>
      <w:r w:rsidR="00476E58" w:rsidRPr="00E065C2">
        <w:rPr>
          <w:rFonts w:cs="Arial"/>
          <w:bCs/>
          <w:lang w:val="en-GB"/>
        </w:rPr>
        <w:t xml:space="preserve"> be comprehensive and</w:t>
      </w:r>
      <w:r w:rsidR="00126287" w:rsidRPr="00E065C2">
        <w:rPr>
          <w:rFonts w:cs="Arial"/>
          <w:bCs/>
          <w:lang w:val="en-GB"/>
        </w:rPr>
        <w:t xml:space="preserve"> include a review of all </w:t>
      </w:r>
      <w:r>
        <w:rPr>
          <w:rFonts w:cs="Arial"/>
          <w:bCs/>
          <w:lang w:val="en-GB"/>
        </w:rPr>
        <w:t xml:space="preserve">member </w:t>
      </w:r>
      <w:r w:rsidR="00126287" w:rsidRPr="00E065C2">
        <w:rPr>
          <w:rFonts w:cs="Arial"/>
          <w:bCs/>
          <w:lang w:val="en-GB"/>
        </w:rPr>
        <w:t>investment options</w:t>
      </w:r>
      <w:r w:rsidR="00476E58" w:rsidRPr="00E065C2">
        <w:rPr>
          <w:rFonts w:cs="Arial"/>
          <w:bCs/>
          <w:lang w:val="en-GB"/>
        </w:rPr>
        <w:t xml:space="preserve"> and not</w:t>
      </w:r>
      <w:r w:rsidR="00FD7D1A" w:rsidRPr="00E065C2">
        <w:rPr>
          <w:rFonts w:cs="Arial"/>
          <w:bCs/>
          <w:lang w:val="en-GB"/>
        </w:rPr>
        <w:t xml:space="preserve"> be</w:t>
      </w:r>
      <w:r w:rsidR="00476E58" w:rsidRPr="00E065C2">
        <w:rPr>
          <w:rFonts w:cs="Arial"/>
          <w:bCs/>
          <w:lang w:val="en-GB"/>
        </w:rPr>
        <w:t xml:space="preserve"> </w:t>
      </w:r>
      <w:r w:rsidR="00126287" w:rsidRPr="00E065C2">
        <w:rPr>
          <w:rFonts w:cs="Arial"/>
          <w:bCs/>
          <w:lang w:val="en-GB"/>
        </w:rPr>
        <w:t>limited to</w:t>
      </w:r>
      <w:r w:rsidR="00476E58" w:rsidRPr="00E065C2">
        <w:rPr>
          <w:rFonts w:cs="Arial"/>
          <w:bCs/>
          <w:lang w:val="en-GB"/>
        </w:rPr>
        <w:t xml:space="preserve"> a review of</w:t>
      </w:r>
      <w:r w:rsidR="00126287" w:rsidRPr="00E065C2">
        <w:rPr>
          <w:rFonts w:cs="Arial"/>
          <w:bCs/>
          <w:lang w:val="en-GB"/>
        </w:rPr>
        <w:t xml:space="preserve"> the default investment strategy.</w:t>
      </w:r>
      <w:r w:rsidR="0021002C" w:rsidRPr="00E065C2">
        <w:rPr>
          <w:rFonts w:cs="Arial"/>
          <w:bCs/>
          <w:lang w:val="en-GB"/>
        </w:rPr>
        <w:t xml:space="preserve"> </w:t>
      </w:r>
    </w:p>
    <w:p w14:paraId="317F91B2" w14:textId="6ADA995F" w:rsidR="00346562" w:rsidRPr="00BC14ED" w:rsidRDefault="00F97827" w:rsidP="00060408">
      <w:pPr>
        <w:pStyle w:val="Heading4"/>
        <w:numPr>
          <w:ilvl w:val="1"/>
          <w:numId w:val="32"/>
        </w:numPr>
        <w:ind w:left="567" w:hanging="567"/>
      </w:pPr>
      <w:bookmarkStart w:id="19" w:name="_Toc147833273"/>
      <w:bookmarkStart w:id="20" w:name="_Toc147833576"/>
      <w:r w:rsidRPr="00BC14ED">
        <w:lastRenderedPageBreak/>
        <w:t>M</w:t>
      </w:r>
      <w:r w:rsidR="00583072" w:rsidRPr="00BC14ED">
        <w:t>aster trusts</w:t>
      </w:r>
      <w:bookmarkEnd w:id="19"/>
      <w:bookmarkEnd w:id="20"/>
    </w:p>
    <w:p w14:paraId="088CB1A7" w14:textId="6D811E4B" w:rsidR="0094416D" w:rsidRPr="00E065C2" w:rsidRDefault="00583072" w:rsidP="00343964">
      <w:pPr>
        <w:spacing w:after="240" w:line="276" w:lineRule="auto"/>
        <w:rPr>
          <w:rFonts w:cs="Arial"/>
          <w:bCs/>
          <w:lang w:val="en-GB"/>
        </w:rPr>
      </w:pPr>
      <w:r w:rsidRPr="00E065C2">
        <w:rPr>
          <w:rFonts w:cs="Arial"/>
          <w:bCs/>
          <w:lang w:val="en-GB"/>
        </w:rPr>
        <w:t>The assessment of risks for a</w:t>
      </w:r>
      <w:r w:rsidR="00D22762" w:rsidRPr="00E065C2">
        <w:rPr>
          <w:rFonts w:cs="Arial"/>
          <w:bCs/>
          <w:lang w:val="en-GB"/>
        </w:rPr>
        <w:t xml:space="preserve"> </w:t>
      </w:r>
      <w:r w:rsidRPr="00E065C2">
        <w:rPr>
          <w:rFonts w:cs="Arial"/>
          <w:bCs/>
          <w:lang w:val="en-GB"/>
        </w:rPr>
        <w:t xml:space="preserve">master trust </w:t>
      </w:r>
      <w:r w:rsidR="009A5F0B" w:rsidRPr="00E065C2">
        <w:rPr>
          <w:rFonts w:cs="Arial"/>
          <w:bCs/>
          <w:lang w:val="en-GB"/>
        </w:rPr>
        <w:t xml:space="preserve">will include risks that are specific to the running of a multi-employer scheme </w:t>
      </w:r>
      <w:r w:rsidR="00F97827">
        <w:rPr>
          <w:rFonts w:cs="Arial"/>
          <w:bCs/>
          <w:lang w:val="en-GB"/>
        </w:rPr>
        <w:t xml:space="preserve">where </w:t>
      </w:r>
      <w:r w:rsidR="009A5F0B" w:rsidRPr="00E065C2">
        <w:rPr>
          <w:rFonts w:cs="Arial"/>
          <w:bCs/>
          <w:lang w:val="en-GB"/>
        </w:rPr>
        <w:t>administration services</w:t>
      </w:r>
      <w:r w:rsidR="00F97827">
        <w:rPr>
          <w:rFonts w:cs="Arial"/>
          <w:bCs/>
          <w:lang w:val="en-GB"/>
        </w:rPr>
        <w:t xml:space="preserve"> involve</w:t>
      </w:r>
      <w:r w:rsidR="009A5F0B" w:rsidRPr="00E065C2">
        <w:rPr>
          <w:rFonts w:cs="Arial"/>
          <w:bCs/>
          <w:lang w:val="en-GB"/>
        </w:rPr>
        <w:t xml:space="preserve"> the collection of contributions and data from multiple employer and member sources.</w:t>
      </w:r>
      <w:r w:rsidR="00E0051E" w:rsidRPr="00E065C2">
        <w:rPr>
          <w:rFonts w:cs="Arial"/>
          <w:bCs/>
          <w:lang w:val="en-GB"/>
        </w:rPr>
        <w:t xml:space="preserve"> </w:t>
      </w:r>
    </w:p>
    <w:p w14:paraId="2D5346FD" w14:textId="70A35018" w:rsidR="00C163A3" w:rsidRPr="00E065C2" w:rsidRDefault="00500104" w:rsidP="00343964">
      <w:pPr>
        <w:spacing w:after="240" w:line="276" w:lineRule="auto"/>
        <w:rPr>
          <w:rFonts w:cs="Arial"/>
          <w:bCs/>
          <w:highlight w:val="yellow"/>
          <w:lang w:val="en-GB"/>
        </w:rPr>
      </w:pPr>
      <w:r w:rsidRPr="00E065C2">
        <w:rPr>
          <w:rFonts w:cs="Arial"/>
          <w:bCs/>
          <w:lang w:val="en-GB"/>
        </w:rPr>
        <w:t>M</w:t>
      </w:r>
      <w:r w:rsidR="00E0051E" w:rsidRPr="00E065C2">
        <w:rPr>
          <w:rFonts w:cs="Arial"/>
          <w:bCs/>
          <w:lang w:val="en-GB"/>
        </w:rPr>
        <w:t xml:space="preserve">aster trusts </w:t>
      </w:r>
      <w:r w:rsidR="00A3735B" w:rsidRPr="00E065C2">
        <w:rPr>
          <w:rFonts w:cs="Arial"/>
          <w:bCs/>
          <w:lang w:val="en-GB"/>
        </w:rPr>
        <w:t xml:space="preserve">which </w:t>
      </w:r>
      <w:r w:rsidR="00E0051E" w:rsidRPr="00E065C2">
        <w:rPr>
          <w:rFonts w:cs="Arial"/>
          <w:bCs/>
          <w:lang w:val="en-GB"/>
        </w:rPr>
        <w:t>have close connections with for</w:t>
      </w:r>
      <w:r w:rsidR="00623F64">
        <w:rPr>
          <w:rFonts w:cs="Arial"/>
          <w:bCs/>
          <w:lang w:val="en-GB"/>
        </w:rPr>
        <w:t>-</w:t>
      </w:r>
      <w:r w:rsidR="00E0051E" w:rsidRPr="00E065C2">
        <w:rPr>
          <w:rFonts w:cs="Arial"/>
          <w:bCs/>
          <w:lang w:val="en-GB"/>
        </w:rPr>
        <w:t xml:space="preserve">profit entities </w:t>
      </w:r>
      <w:r w:rsidRPr="00E065C2">
        <w:rPr>
          <w:rFonts w:cs="Arial"/>
          <w:bCs/>
          <w:lang w:val="en-GB"/>
        </w:rPr>
        <w:t>can be exposed to</w:t>
      </w:r>
      <w:r w:rsidR="00E0051E" w:rsidRPr="00E065C2">
        <w:rPr>
          <w:rFonts w:cs="Arial"/>
          <w:bCs/>
          <w:lang w:val="en-GB"/>
        </w:rPr>
        <w:t xml:space="preserve"> </w:t>
      </w:r>
      <w:r w:rsidR="003F67CB" w:rsidRPr="00E065C2">
        <w:rPr>
          <w:rFonts w:cs="Arial"/>
          <w:bCs/>
          <w:lang w:val="en-GB"/>
        </w:rPr>
        <w:t xml:space="preserve">an increased risk of </w:t>
      </w:r>
      <w:r w:rsidR="00E0051E" w:rsidRPr="00E065C2">
        <w:rPr>
          <w:rFonts w:cs="Arial"/>
          <w:bCs/>
          <w:lang w:val="en-GB"/>
        </w:rPr>
        <w:t>conflicts of interest</w:t>
      </w:r>
      <w:r w:rsidR="00565D17">
        <w:rPr>
          <w:rFonts w:cs="Arial"/>
          <w:bCs/>
          <w:lang w:val="en-GB"/>
        </w:rPr>
        <w:t>,</w:t>
      </w:r>
      <w:r w:rsidR="00E0051E" w:rsidRPr="00E065C2">
        <w:rPr>
          <w:rFonts w:cs="Arial"/>
          <w:bCs/>
          <w:lang w:val="en-GB"/>
        </w:rPr>
        <w:t xml:space="preserve"> </w:t>
      </w:r>
      <w:r w:rsidR="00F15EBE" w:rsidRPr="00E065C2">
        <w:rPr>
          <w:rFonts w:cs="Arial"/>
          <w:bCs/>
          <w:lang w:val="en-GB"/>
        </w:rPr>
        <w:t>which need to be assessed and managed.</w:t>
      </w:r>
      <w:r w:rsidR="00BD2E1C" w:rsidRPr="00E065C2">
        <w:rPr>
          <w:rFonts w:cs="Arial"/>
          <w:bCs/>
          <w:lang w:val="en-GB"/>
        </w:rPr>
        <w:t xml:space="preserve"> </w:t>
      </w:r>
      <w:r w:rsidR="009B7ACD" w:rsidRPr="00E065C2">
        <w:rPr>
          <w:rFonts w:cs="Arial"/>
          <w:bCs/>
          <w:lang w:val="en-GB"/>
        </w:rPr>
        <w:t>Potential c</w:t>
      </w:r>
      <w:r w:rsidR="00BD2E1C" w:rsidRPr="00E065C2">
        <w:rPr>
          <w:rFonts w:cs="Arial"/>
          <w:bCs/>
          <w:lang w:val="en-GB"/>
        </w:rPr>
        <w:t>onflicts of interes</w:t>
      </w:r>
      <w:r w:rsidR="005A7A5F" w:rsidRPr="00E065C2">
        <w:rPr>
          <w:rFonts w:cs="Arial"/>
          <w:bCs/>
          <w:lang w:val="en-GB"/>
        </w:rPr>
        <w:t>t</w:t>
      </w:r>
      <w:r w:rsidR="00BD2E1C" w:rsidRPr="00E065C2">
        <w:rPr>
          <w:rFonts w:cs="Arial"/>
          <w:bCs/>
          <w:lang w:val="en-GB"/>
        </w:rPr>
        <w:t xml:space="preserve"> can arise from </w:t>
      </w:r>
      <w:r w:rsidR="009B7ACD" w:rsidRPr="00E065C2">
        <w:rPr>
          <w:rFonts w:cs="Arial"/>
          <w:bCs/>
          <w:lang w:val="en-GB"/>
        </w:rPr>
        <w:t xml:space="preserve">the relationship between the founder of the </w:t>
      </w:r>
      <w:r w:rsidR="00375FCE">
        <w:rPr>
          <w:rFonts w:cs="Arial"/>
          <w:bCs/>
          <w:lang w:val="en-GB"/>
        </w:rPr>
        <w:t>master trust</w:t>
      </w:r>
      <w:r w:rsidR="009B7ACD" w:rsidRPr="00E065C2">
        <w:rPr>
          <w:rFonts w:cs="Arial"/>
          <w:bCs/>
          <w:lang w:val="en-GB"/>
        </w:rPr>
        <w:t xml:space="preserve"> and the trustee</w:t>
      </w:r>
      <w:r w:rsidR="009C0EB9" w:rsidRPr="00E065C2">
        <w:rPr>
          <w:rFonts w:cs="Arial"/>
          <w:bCs/>
          <w:lang w:val="en-GB"/>
        </w:rPr>
        <w:t>s</w:t>
      </w:r>
      <w:r w:rsidR="00FD7D1A" w:rsidRPr="00E065C2">
        <w:rPr>
          <w:rFonts w:cs="Arial"/>
          <w:bCs/>
          <w:lang w:val="en-GB"/>
        </w:rPr>
        <w:t xml:space="preserve"> </w:t>
      </w:r>
      <w:r w:rsidR="009B7ACD" w:rsidRPr="00E065C2">
        <w:rPr>
          <w:rFonts w:cs="Arial"/>
          <w:bCs/>
          <w:lang w:val="en-GB"/>
        </w:rPr>
        <w:t xml:space="preserve">or where the founder acts as a service provider to the </w:t>
      </w:r>
      <w:r w:rsidR="00C01F15">
        <w:rPr>
          <w:rFonts w:cs="Arial"/>
          <w:bCs/>
          <w:lang w:val="en-GB"/>
        </w:rPr>
        <w:t>master trust</w:t>
      </w:r>
      <w:r w:rsidR="009B7ACD" w:rsidRPr="00E065C2">
        <w:rPr>
          <w:rFonts w:cs="Arial"/>
          <w:bCs/>
          <w:lang w:val="en-GB"/>
        </w:rPr>
        <w:t xml:space="preserve">. </w:t>
      </w:r>
    </w:p>
    <w:p w14:paraId="31075C61" w14:textId="6280E776" w:rsidR="00815996" w:rsidRPr="00BC14ED" w:rsidRDefault="00815996" w:rsidP="00060408">
      <w:pPr>
        <w:pStyle w:val="Heading4"/>
        <w:numPr>
          <w:ilvl w:val="1"/>
          <w:numId w:val="32"/>
        </w:numPr>
        <w:ind w:left="567" w:hanging="567"/>
      </w:pPr>
      <w:bookmarkStart w:id="21" w:name="_Toc147833274"/>
      <w:bookmarkStart w:id="22" w:name="_Toc147833577"/>
      <w:r w:rsidRPr="00BC14ED">
        <w:t xml:space="preserve">Defined benefit </w:t>
      </w:r>
      <w:r w:rsidR="007855A1" w:rsidRPr="00BC14ED">
        <w:t>schemes</w:t>
      </w:r>
      <w:bookmarkEnd w:id="21"/>
      <w:bookmarkEnd w:id="22"/>
      <w:r w:rsidR="006C63EF" w:rsidRPr="00BC14ED">
        <w:t xml:space="preserve"> </w:t>
      </w:r>
    </w:p>
    <w:p w14:paraId="730146C4" w14:textId="4B42B026" w:rsidR="004676BB" w:rsidRPr="00E065C2" w:rsidRDefault="005F7CD3" w:rsidP="00343964">
      <w:pPr>
        <w:spacing w:after="240" w:line="276" w:lineRule="auto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>T</w:t>
      </w:r>
      <w:r w:rsidR="007855A1" w:rsidRPr="00E065C2">
        <w:rPr>
          <w:rFonts w:cs="Arial"/>
          <w:bCs/>
          <w:lang w:val="en-GB"/>
        </w:rPr>
        <w:t>r</w:t>
      </w:r>
      <w:r w:rsidR="00815996" w:rsidRPr="00E065C2">
        <w:rPr>
          <w:rFonts w:cs="Arial"/>
          <w:bCs/>
          <w:lang w:val="en-GB"/>
        </w:rPr>
        <w:t xml:space="preserve">ustees of </w:t>
      </w:r>
      <w:r w:rsidR="00916704" w:rsidRPr="00E065C2">
        <w:rPr>
          <w:rFonts w:cs="Arial"/>
          <w:bCs/>
          <w:lang w:val="en-GB"/>
        </w:rPr>
        <w:t xml:space="preserve">defined benefit schemes will need to address funding and solvency requirements, </w:t>
      </w:r>
      <w:r w:rsidR="008045F1">
        <w:rPr>
          <w:rFonts w:cs="Arial"/>
          <w:bCs/>
          <w:lang w:val="en-GB"/>
        </w:rPr>
        <w:t xml:space="preserve">including </w:t>
      </w:r>
      <w:r w:rsidR="00916704" w:rsidRPr="00E065C2">
        <w:rPr>
          <w:rFonts w:cs="Arial"/>
          <w:bCs/>
          <w:lang w:val="en-GB"/>
        </w:rPr>
        <w:t>the implications of issues such as scheme maturity</w:t>
      </w:r>
      <w:r w:rsidR="00AE5898" w:rsidRPr="00E065C2">
        <w:rPr>
          <w:rFonts w:cs="Arial"/>
          <w:bCs/>
          <w:lang w:val="en-GB"/>
        </w:rPr>
        <w:t xml:space="preserve"> and </w:t>
      </w:r>
      <w:r>
        <w:rPr>
          <w:rFonts w:cs="Arial"/>
          <w:bCs/>
          <w:lang w:val="en-GB"/>
        </w:rPr>
        <w:t xml:space="preserve">financial </w:t>
      </w:r>
      <w:r w:rsidR="00AE5898" w:rsidRPr="00E065C2">
        <w:rPr>
          <w:rFonts w:cs="Arial"/>
          <w:bCs/>
          <w:lang w:val="en-GB"/>
        </w:rPr>
        <w:t>sustainability, and the strength of the employer covenant.</w:t>
      </w:r>
    </w:p>
    <w:p w14:paraId="1A1DBBBF" w14:textId="6E587B33" w:rsidR="007742EA" w:rsidRDefault="00F93052" w:rsidP="00343964">
      <w:pPr>
        <w:spacing w:after="240" w:line="276" w:lineRule="auto"/>
        <w:rPr>
          <w:rFonts w:cs="Arial"/>
          <w:bCs/>
          <w:lang w:val="en-GB"/>
        </w:rPr>
      </w:pPr>
      <w:r w:rsidRPr="00E065C2">
        <w:rPr>
          <w:rFonts w:cs="Arial"/>
        </w:rPr>
        <w:t>The ORA</w:t>
      </w:r>
      <w:r w:rsidR="007A5F67" w:rsidRPr="00E065C2">
        <w:rPr>
          <w:rFonts w:cs="Arial"/>
        </w:rPr>
        <w:t xml:space="preserve"> for a DB scheme</w:t>
      </w:r>
      <w:r w:rsidRPr="00E065C2">
        <w:rPr>
          <w:rFonts w:cs="Arial"/>
        </w:rPr>
        <w:t xml:space="preserve"> must include the trustees</w:t>
      </w:r>
      <w:r w:rsidR="007A5F67" w:rsidRPr="00E065C2">
        <w:rPr>
          <w:rFonts w:cs="Arial"/>
        </w:rPr>
        <w:t>’</w:t>
      </w:r>
      <w:r w:rsidRPr="00E065C2">
        <w:rPr>
          <w:rFonts w:cs="Arial"/>
        </w:rPr>
        <w:t xml:space="preserve"> evidence-based view of the strength of the employer covenant. </w:t>
      </w:r>
      <w:r w:rsidR="007742EA">
        <w:rPr>
          <w:rFonts w:cs="Arial"/>
          <w:bCs/>
          <w:lang w:val="en-GB"/>
        </w:rPr>
        <w:t xml:space="preserve">This evidence will comprise </w:t>
      </w:r>
      <w:r w:rsidR="00565D17">
        <w:rPr>
          <w:rFonts w:cs="Arial"/>
          <w:bCs/>
          <w:lang w:val="en-GB"/>
        </w:rPr>
        <w:t xml:space="preserve">of </w:t>
      </w:r>
      <w:r w:rsidR="007742EA">
        <w:rPr>
          <w:rFonts w:cs="Arial"/>
          <w:bCs/>
          <w:lang w:val="en-GB"/>
        </w:rPr>
        <w:t>qualitative and</w:t>
      </w:r>
      <w:r w:rsidR="00565D17">
        <w:rPr>
          <w:rFonts w:cs="Arial"/>
          <w:bCs/>
          <w:lang w:val="en-GB"/>
        </w:rPr>
        <w:t>,</w:t>
      </w:r>
      <w:r w:rsidR="007742EA">
        <w:rPr>
          <w:rFonts w:cs="Arial"/>
          <w:bCs/>
          <w:lang w:val="en-GB"/>
        </w:rPr>
        <w:t xml:space="preserve"> where available</w:t>
      </w:r>
      <w:r w:rsidR="00565D17">
        <w:rPr>
          <w:rFonts w:cs="Arial"/>
          <w:bCs/>
          <w:lang w:val="en-GB"/>
        </w:rPr>
        <w:t>,</w:t>
      </w:r>
      <w:r w:rsidR="007742EA">
        <w:rPr>
          <w:rFonts w:cs="Arial"/>
          <w:bCs/>
          <w:lang w:val="en-GB"/>
        </w:rPr>
        <w:t xml:space="preserve"> quantitative data.</w:t>
      </w:r>
    </w:p>
    <w:p w14:paraId="7D2A4D4E" w14:textId="0C7FB992" w:rsidR="007B28AD" w:rsidRPr="00E065C2" w:rsidRDefault="00CB1931" w:rsidP="00343964">
      <w:pPr>
        <w:spacing w:after="240" w:line="276" w:lineRule="auto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 xml:space="preserve">The employer’s current ability to pay may change in the future for a variety of reasons, which may </w:t>
      </w:r>
      <w:r w:rsidR="007B28AD" w:rsidRPr="00E065C2">
        <w:rPr>
          <w:rFonts w:cs="Arial"/>
          <w:bCs/>
          <w:lang w:val="en-GB"/>
        </w:rPr>
        <w:t>include:</w:t>
      </w:r>
    </w:p>
    <w:p w14:paraId="7521ADE5" w14:textId="5DA7AE30" w:rsidR="007B28AD" w:rsidRPr="00E065C2" w:rsidRDefault="007B28AD" w:rsidP="00343964">
      <w:pPr>
        <w:pStyle w:val="ListParagraph"/>
        <w:numPr>
          <w:ilvl w:val="0"/>
          <w:numId w:val="13"/>
        </w:numPr>
        <w:spacing w:after="240" w:line="276" w:lineRule="auto"/>
        <w:rPr>
          <w:rFonts w:cs="Arial"/>
          <w:bCs/>
          <w:lang w:val="en-GB"/>
        </w:rPr>
      </w:pPr>
      <w:r w:rsidRPr="00E065C2">
        <w:rPr>
          <w:rFonts w:cs="Arial"/>
          <w:bCs/>
          <w:lang w:val="en-GB"/>
        </w:rPr>
        <w:t xml:space="preserve">changes in </w:t>
      </w:r>
      <w:r w:rsidRPr="00E065C2">
        <w:rPr>
          <w:rFonts w:cs="Arial"/>
        </w:rPr>
        <w:t xml:space="preserve">ownership, </w:t>
      </w:r>
      <w:r w:rsidR="00255DD7" w:rsidRPr="00E065C2">
        <w:rPr>
          <w:rFonts w:cs="Arial"/>
        </w:rPr>
        <w:t>shareholdings,</w:t>
      </w:r>
      <w:r w:rsidRPr="00E065C2">
        <w:rPr>
          <w:rFonts w:cs="Arial"/>
        </w:rPr>
        <w:t xml:space="preserve"> or corporate structure of the employer</w:t>
      </w:r>
      <w:r w:rsidR="00255DD7" w:rsidRPr="00E065C2">
        <w:rPr>
          <w:rFonts w:cs="Arial"/>
        </w:rPr>
        <w:t>,</w:t>
      </w:r>
    </w:p>
    <w:p w14:paraId="2DC3E210" w14:textId="04619899" w:rsidR="00255DD7" w:rsidRPr="00E065C2" w:rsidRDefault="00255DD7" w:rsidP="00343964">
      <w:pPr>
        <w:pStyle w:val="ListParagraph"/>
        <w:numPr>
          <w:ilvl w:val="0"/>
          <w:numId w:val="13"/>
        </w:numPr>
        <w:spacing w:after="240" w:line="276" w:lineRule="auto"/>
        <w:rPr>
          <w:rFonts w:cs="Arial"/>
          <w:bCs/>
          <w:lang w:val="en-GB"/>
        </w:rPr>
      </w:pPr>
      <w:r w:rsidRPr="00E065C2">
        <w:rPr>
          <w:rFonts w:cs="Arial"/>
          <w:bCs/>
          <w:lang w:val="en-GB"/>
        </w:rPr>
        <w:t xml:space="preserve">significant falls in the employer’s share price or </w:t>
      </w:r>
      <w:r w:rsidR="00667F01">
        <w:rPr>
          <w:rFonts w:cs="Arial"/>
          <w:bCs/>
          <w:lang w:val="en-GB"/>
        </w:rPr>
        <w:t xml:space="preserve">the </w:t>
      </w:r>
      <w:r w:rsidRPr="00E065C2">
        <w:rPr>
          <w:rFonts w:cs="Arial"/>
          <w:bCs/>
          <w:lang w:val="en-GB"/>
        </w:rPr>
        <w:t>credit rating of employer issued bonds</w:t>
      </w:r>
      <w:r w:rsidR="00A379C8" w:rsidRPr="00E065C2">
        <w:rPr>
          <w:rFonts w:cs="Arial"/>
          <w:bCs/>
          <w:lang w:val="en-GB"/>
        </w:rPr>
        <w:t xml:space="preserve"> where available</w:t>
      </w:r>
      <w:r w:rsidR="001414CF" w:rsidRPr="00E065C2">
        <w:rPr>
          <w:rFonts w:cs="Arial"/>
          <w:bCs/>
          <w:lang w:val="en-GB"/>
        </w:rPr>
        <w:t>,</w:t>
      </w:r>
    </w:p>
    <w:p w14:paraId="21416A26" w14:textId="4D92A47A" w:rsidR="00255DD7" w:rsidRPr="00E065C2" w:rsidRDefault="00255DD7" w:rsidP="00343964">
      <w:pPr>
        <w:pStyle w:val="ListParagraph"/>
        <w:numPr>
          <w:ilvl w:val="0"/>
          <w:numId w:val="13"/>
        </w:numPr>
        <w:spacing w:after="240" w:line="276" w:lineRule="auto"/>
        <w:rPr>
          <w:rFonts w:cs="Arial"/>
          <w:bCs/>
          <w:lang w:val="en-GB"/>
        </w:rPr>
      </w:pPr>
      <w:r w:rsidRPr="00E065C2">
        <w:rPr>
          <w:rFonts w:cs="Arial"/>
        </w:rPr>
        <w:t>a reduction in the value of any contingent asset</w:t>
      </w:r>
      <w:r w:rsidR="00A379C8" w:rsidRPr="00E065C2">
        <w:rPr>
          <w:rFonts w:cs="Arial"/>
        </w:rPr>
        <w:t xml:space="preserve"> made available by the employer to the scheme, and</w:t>
      </w:r>
    </w:p>
    <w:p w14:paraId="73F8324D" w14:textId="1A9A310B" w:rsidR="00A34119" w:rsidRPr="00E065C2" w:rsidRDefault="007B28AD" w:rsidP="00343964">
      <w:pPr>
        <w:pStyle w:val="ListParagraph"/>
        <w:numPr>
          <w:ilvl w:val="0"/>
          <w:numId w:val="13"/>
        </w:numPr>
        <w:spacing w:after="240" w:line="276" w:lineRule="auto"/>
        <w:rPr>
          <w:rFonts w:cs="Arial"/>
          <w:bCs/>
          <w:lang w:val="en-GB"/>
        </w:rPr>
      </w:pPr>
      <w:r w:rsidRPr="00E065C2">
        <w:rPr>
          <w:rFonts w:cs="Arial"/>
        </w:rPr>
        <w:t xml:space="preserve">any other </w:t>
      </w:r>
      <w:r w:rsidR="00255DD7" w:rsidRPr="00E065C2">
        <w:rPr>
          <w:rFonts w:cs="Arial"/>
        </w:rPr>
        <w:t>factors</w:t>
      </w:r>
      <w:r w:rsidRPr="00E065C2">
        <w:rPr>
          <w:rFonts w:cs="Arial"/>
        </w:rPr>
        <w:t xml:space="preserve"> that may indicate a weakened financial position of the employer</w:t>
      </w:r>
      <w:r w:rsidR="00255DD7" w:rsidRPr="00E065C2">
        <w:rPr>
          <w:rFonts w:cs="Arial"/>
        </w:rPr>
        <w:t>.</w:t>
      </w:r>
    </w:p>
    <w:p w14:paraId="1C4CAAB1" w14:textId="1727D16A" w:rsidR="00005600" w:rsidRPr="00E065C2" w:rsidRDefault="00CB1931" w:rsidP="00343964">
      <w:pPr>
        <w:spacing w:after="240" w:line="276" w:lineRule="auto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>Even where incomplete information is available, trustees must use their judgement to arrive at a view of the employer covenant.</w:t>
      </w:r>
      <w:r w:rsidR="00005600" w:rsidRPr="00E065C2">
        <w:rPr>
          <w:rFonts w:cs="Arial"/>
          <w:bCs/>
          <w:lang w:val="en-GB"/>
        </w:rPr>
        <w:t xml:space="preserve"> </w:t>
      </w:r>
    </w:p>
    <w:p w14:paraId="6E888158" w14:textId="775AB820" w:rsidR="00DA1F8B" w:rsidRPr="00BC14ED" w:rsidRDefault="00CB1931" w:rsidP="00343964">
      <w:pPr>
        <w:pStyle w:val="Heading3"/>
        <w:ind w:left="567" w:hanging="567"/>
      </w:pPr>
      <w:bookmarkStart w:id="23" w:name="_Toc147833275"/>
      <w:bookmarkStart w:id="24" w:name="_Toc147833578"/>
      <w:r w:rsidRPr="00BC14ED">
        <w:t>E</w:t>
      </w:r>
      <w:r w:rsidR="00DA1F8B" w:rsidRPr="00BC14ED">
        <w:t>valuation</w:t>
      </w:r>
      <w:bookmarkEnd w:id="23"/>
      <w:bookmarkEnd w:id="24"/>
    </w:p>
    <w:p w14:paraId="07A6AB8D" w14:textId="44448B8D" w:rsidR="00A36819" w:rsidRDefault="00A36819" w:rsidP="00343964">
      <w:pPr>
        <w:spacing w:after="240" w:line="276" w:lineRule="auto"/>
        <w:rPr>
          <w:rFonts w:cs="Arial"/>
          <w:bCs/>
          <w:lang w:val="en-GB"/>
        </w:rPr>
      </w:pPr>
      <w:r w:rsidRPr="00E065C2">
        <w:rPr>
          <w:rFonts w:cs="Arial"/>
          <w:bCs/>
          <w:lang w:val="en-GB"/>
        </w:rPr>
        <w:t xml:space="preserve">The </w:t>
      </w:r>
      <w:r w:rsidR="00DF7E22" w:rsidRPr="00E065C2">
        <w:rPr>
          <w:rFonts w:cs="Arial"/>
          <w:bCs/>
          <w:lang w:val="en-GB"/>
        </w:rPr>
        <w:t>assessment</w:t>
      </w:r>
      <w:r w:rsidR="00754FD0">
        <w:rPr>
          <w:rFonts w:cs="Arial"/>
          <w:bCs/>
          <w:lang w:val="en-GB"/>
        </w:rPr>
        <w:t xml:space="preserve"> of risk</w:t>
      </w:r>
      <w:r w:rsidR="00DF7E22" w:rsidRPr="00E065C2">
        <w:rPr>
          <w:rFonts w:cs="Arial"/>
          <w:bCs/>
          <w:lang w:val="en-GB"/>
        </w:rPr>
        <w:t xml:space="preserve"> </w:t>
      </w:r>
      <w:r w:rsidRPr="00E065C2">
        <w:rPr>
          <w:rFonts w:cs="Arial"/>
          <w:bCs/>
          <w:lang w:val="en-GB"/>
        </w:rPr>
        <w:t xml:space="preserve">must be supported </w:t>
      </w:r>
      <w:r w:rsidR="00CB1931">
        <w:rPr>
          <w:rFonts w:cs="Arial"/>
          <w:bCs/>
          <w:lang w:val="en-GB"/>
        </w:rPr>
        <w:t>by the best data available</w:t>
      </w:r>
      <w:r w:rsidR="007742EA">
        <w:rPr>
          <w:rFonts w:cs="Arial"/>
          <w:bCs/>
          <w:lang w:val="en-GB"/>
        </w:rPr>
        <w:t xml:space="preserve"> </w:t>
      </w:r>
      <w:r w:rsidR="00754FD0">
        <w:rPr>
          <w:rFonts w:cs="Arial"/>
          <w:bCs/>
          <w:lang w:val="en-GB"/>
        </w:rPr>
        <w:t xml:space="preserve">and in </w:t>
      </w:r>
      <w:r w:rsidRPr="00E065C2">
        <w:rPr>
          <w:rFonts w:cs="Arial"/>
          <w:bCs/>
          <w:lang w:val="en-GB"/>
        </w:rPr>
        <w:t>relation to investment and solvency matters</w:t>
      </w:r>
      <w:r w:rsidR="004760A7" w:rsidRPr="00E065C2">
        <w:rPr>
          <w:rFonts w:cs="Arial"/>
          <w:bCs/>
          <w:lang w:val="en-GB"/>
        </w:rPr>
        <w:t>,</w:t>
      </w:r>
      <w:r w:rsidRPr="00E065C2">
        <w:rPr>
          <w:rFonts w:cs="Arial"/>
          <w:bCs/>
          <w:lang w:val="en-GB"/>
        </w:rPr>
        <w:t xml:space="preserve"> that data should be quantitative. </w:t>
      </w:r>
    </w:p>
    <w:p w14:paraId="514C3438" w14:textId="0DB808AD" w:rsidR="00754FD0" w:rsidRDefault="005D7A8E" w:rsidP="00343964">
      <w:pPr>
        <w:spacing w:after="240" w:line="276" w:lineRule="auto"/>
        <w:rPr>
          <w:rFonts w:cs="Arial"/>
          <w:bCs/>
          <w:lang w:val="en-GB"/>
        </w:rPr>
      </w:pPr>
      <w:r>
        <w:t xml:space="preserve">The </w:t>
      </w:r>
      <w:r w:rsidR="00754FD0">
        <w:t>scheme’s internal audit function will be of assistance</w:t>
      </w:r>
      <w:r w:rsidRPr="005D7A8E">
        <w:t xml:space="preserve"> </w:t>
      </w:r>
      <w:r>
        <w:t>in the assessment of operational risk and governance risk</w:t>
      </w:r>
      <w:r w:rsidR="007742EA">
        <w:t xml:space="preserve">. </w:t>
      </w:r>
      <w:r>
        <w:t xml:space="preserve">For </w:t>
      </w:r>
      <w:r w:rsidR="00754FD0">
        <w:t xml:space="preserve">outsourced services, trustees should be regularly seeking </w:t>
      </w:r>
      <w:r w:rsidR="007742EA">
        <w:t>evidence-based</w:t>
      </w:r>
      <w:r w:rsidR="00CB1931">
        <w:t xml:space="preserve"> </w:t>
      </w:r>
      <w:r w:rsidR="00754FD0">
        <w:t>information from the service providers about risks</w:t>
      </w:r>
      <w:r>
        <w:t xml:space="preserve"> and risk mitigation</w:t>
      </w:r>
      <w:r w:rsidR="00754FD0">
        <w:t xml:space="preserve">. </w:t>
      </w:r>
    </w:p>
    <w:p w14:paraId="5EABB2F0" w14:textId="591567FF" w:rsidR="00007B61" w:rsidRPr="00E065C2" w:rsidRDefault="00007B61" w:rsidP="00343964">
      <w:pPr>
        <w:spacing w:after="240" w:line="276" w:lineRule="auto"/>
        <w:rPr>
          <w:rFonts w:cs="Arial"/>
          <w:bCs/>
          <w:lang w:val="en-GB"/>
        </w:rPr>
      </w:pPr>
      <w:r w:rsidRPr="00E065C2">
        <w:rPr>
          <w:rFonts w:cs="Arial"/>
          <w:bCs/>
          <w:lang w:val="en-GB"/>
        </w:rPr>
        <w:lastRenderedPageBreak/>
        <w:t>The ORA should include</w:t>
      </w:r>
      <w:r w:rsidR="009B3D17" w:rsidRPr="00E065C2">
        <w:rPr>
          <w:rFonts w:cs="Arial"/>
          <w:bCs/>
          <w:lang w:val="en-GB"/>
        </w:rPr>
        <w:t xml:space="preserve"> an evaluation of each risk identified against specified levels of risk tolerance with a clear quantification or scoring of the risks. </w:t>
      </w:r>
      <w:r w:rsidR="009B3D17" w:rsidRPr="00E065C2">
        <w:rPr>
          <w:rFonts w:eastAsia="Arial" w:cs="Arial"/>
          <w:lang w:val="en-GB" w:eastAsia="en-GB"/>
        </w:rPr>
        <w:t>For defined benefit schemes, trustees may</w:t>
      </w:r>
      <w:r w:rsidR="00A379C8" w:rsidRPr="00E065C2">
        <w:rPr>
          <w:rFonts w:eastAsia="Arial" w:cs="Arial"/>
          <w:lang w:val="en-GB" w:eastAsia="en-GB"/>
        </w:rPr>
        <w:t xml:space="preserve"> use a variety of </w:t>
      </w:r>
      <w:r w:rsidR="00CB1931">
        <w:rPr>
          <w:rFonts w:eastAsia="Arial" w:cs="Arial"/>
          <w:lang w:val="en-GB" w:eastAsia="en-GB"/>
        </w:rPr>
        <w:t>approaches</w:t>
      </w:r>
      <w:r w:rsidR="00A379C8" w:rsidRPr="00E065C2">
        <w:rPr>
          <w:rFonts w:eastAsia="Arial" w:cs="Arial"/>
          <w:lang w:val="en-GB" w:eastAsia="en-GB"/>
        </w:rPr>
        <w:t xml:space="preserve"> t</w:t>
      </w:r>
      <w:r w:rsidR="009B3D17" w:rsidRPr="00E065C2">
        <w:rPr>
          <w:rFonts w:eastAsia="Arial" w:cs="Arial"/>
          <w:lang w:val="en-GB" w:eastAsia="en-GB"/>
        </w:rPr>
        <w:t xml:space="preserve">o </w:t>
      </w:r>
      <w:r w:rsidR="0008400F" w:rsidRPr="00E065C2">
        <w:rPr>
          <w:rFonts w:eastAsia="Arial" w:cs="Arial"/>
          <w:lang w:val="en-GB" w:eastAsia="en-GB"/>
        </w:rPr>
        <w:t>evaluate</w:t>
      </w:r>
      <w:r w:rsidR="009B3D17" w:rsidRPr="00E065C2">
        <w:rPr>
          <w:rFonts w:eastAsia="Arial" w:cs="Arial"/>
          <w:lang w:val="en-GB" w:eastAsia="en-GB"/>
        </w:rPr>
        <w:t xml:space="preserve"> </w:t>
      </w:r>
      <w:r w:rsidR="00F365E2" w:rsidRPr="00E065C2">
        <w:rPr>
          <w:rFonts w:eastAsia="Arial" w:cs="Arial"/>
          <w:lang w:val="en-GB" w:eastAsia="en-GB"/>
        </w:rPr>
        <w:t xml:space="preserve">financial </w:t>
      </w:r>
      <w:r w:rsidR="009B3D17" w:rsidRPr="00E065C2">
        <w:rPr>
          <w:rFonts w:eastAsia="Arial" w:cs="Arial"/>
          <w:lang w:val="en-GB" w:eastAsia="en-GB"/>
        </w:rPr>
        <w:t>risks</w:t>
      </w:r>
      <w:r w:rsidR="00A379C8" w:rsidRPr="00E065C2">
        <w:rPr>
          <w:rFonts w:eastAsia="Arial" w:cs="Arial"/>
          <w:lang w:val="en-GB" w:eastAsia="en-GB"/>
        </w:rPr>
        <w:t xml:space="preserve">, including </w:t>
      </w:r>
      <w:r w:rsidR="009B3D17" w:rsidRPr="00E065C2">
        <w:rPr>
          <w:rFonts w:eastAsia="Arial" w:cs="Arial"/>
          <w:lang w:val="en-GB" w:eastAsia="en-GB"/>
        </w:rPr>
        <w:t xml:space="preserve">the Authority’s </w:t>
      </w:r>
      <w:hyperlink r:id="rId13" w:history="1">
        <w:r w:rsidR="009B3D17" w:rsidRPr="00E065C2">
          <w:rPr>
            <w:rStyle w:val="Hyperlink"/>
            <w:rFonts w:eastAsia="Arial" w:cs="Arial"/>
            <w:color w:val="auto"/>
            <w:u w:val="none"/>
            <w:lang w:val="en-GB" w:eastAsia="en-GB"/>
          </w:rPr>
          <w:t>defined benefit financial risk measure</w:t>
        </w:r>
      </w:hyperlink>
      <w:r w:rsidR="00A379C8" w:rsidRPr="00E065C2">
        <w:rPr>
          <w:rFonts w:eastAsia="Arial" w:cs="Arial"/>
          <w:lang w:val="en-GB" w:eastAsia="en-GB"/>
        </w:rPr>
        <w:t>.</w:t>
      </w:r>
      <w:r w:rsidR="009B3D17" w:rsidRPr="00E065C2">
        <w:rPr>
          <w:rFonts w:eastAsia="Arial" w:cs="Arial"/>
          <w:lang w:val="en-GB" w:eastAsia="en-GB"/>
        </w:rPr>
        <w:t xml:space="preserve"> </w:t>
      </w:r>
    </w:p>
    <w:p w14:paraId="09748F38" w14:textId="41D4A82A" w:rsidR="00DA1F8B" w:rsidRPr="00BC14ED" w:rsidRDefault="00DA1F8B" w:rsidP="00343964">
      <w:pPr>
        <w:pStyle w:val="Heading3"/>
        <w:ind w:left="567" w:hanging="567"/>
      </w:pPr>
      <w:bookmarkStart w:id="25" w:name="_Toc147833276"/>
      <w:bookmarkStart w:id="26" w:name="_Toc147833579"/>
      <w:r w:rsidRPr="00BC14ED">
        <w:t>Risk mitigation</w:t>
      </w:r>
      <w:bookmarkEnd w:id="25"/>
      <w:bookmarkEnd w:id="26"/>
    </w:p>
    <w:p w14:paraId="63A051DA" w14:textId="0E9A5D76" w:rsidR="0008400F" w:rsidRPr="00E065C2" w:rsidRDefault="00CD167E" w:rsidP="00343964">
      <w:p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 w:rsidRPr="00E065C2">
        <w:rPr>
          <w:rFonts w:eastAsia="Times New Roman" w:cs="Arial"/>
          <w:lang w:val="en-GB" w:eastAsia="en-GB"/>
        </w:rPr>
        <w:t xml:space="preserve">Based on findings from the ORA, trustees must decide </w:t>
      </w:r>
      <w:r w:rsidR="0008400F" w:rsidRPr="00E065C2">
        <w:rPr>
          <w:rFonts w:eastAsia="Times New Roman" w:cs="Arial"/>
          <w:lang w:val="en-GB" w:eastAsia="en-GB"/>
        </w:rPr>
        <w:t xml:space="preserve">whether to avoid, reduce, </w:t>
      </w:r>
      <w:r w:rsidR="00C75D3B" w:rsidRPr="00E065C2">
        <w:rPr>
          <w:rFonts w:eastAsia="Times New Roman" w:cs="Arial"/>
          <w:lang w:val="en-GB" w:eastAsia="en-GB"/>
        </w:rPr>
        <w:t>transfer,</w:t>
      </w:r>
      <w:r w:rsidR="0008400F" w:rsidRPr="00E065C2">
        <w:rPr>
          <w:rFonts w:eastAsia="Times New Roman" w:cs="Arial"/>
          <w:lang w:val="en-GB" w:eastAsia="en-GB"/>
        </w:rPr>
        <w:t xml:space="preserve"> or accept </w:t>
      </w:r>
      <w:r w:rsidR="007742EA">
        <w:rPr>
          <w:rFonts w:eastAsia="Times New Roman" w:cs="Arial"/>
          <w:lang w:val="en-GB" w:eastAsia="en-GB"/>
        </w:rPr>
        <w:t xml:space="preserve">a </w:t>
      </w:r>
      <w:r w:rsidR="0008400F" w:rsidRPr="00E065C2">
        <w:rPr>
          <w:rFonts w:eastAsia="Times New Roman" w:cs="Arial"/>
          <w:lang w:val="en-GB" w:eastAsia="en-GB"/>
        </w:rPr>
        <w:t>risk</w:t>
      </w:r>
      <w:r w:rsidR="007742EA">
        <w:rPr>
          <w:rFonts w:eastAsia="Times New Roman" w:cs="Arial"/>
          <w:lang w:val="en-GB" w:eastAsia="en-GB"/>
        </w:rPr>
        <w:t>.</w:t>
      </w:r>
      <w:r w:rsidR="008371A1" w:rsidRPr="00E065C2">
        <w:rPr>
          <w:rFonts w:eastAsia="Times New Roman" w:cs="Arial"/>
          <w:lang w:val="en-GB" w:eastAsia="en-GB"/>
        </w:rPr>
        <w:t xml:space="preserve"> </w:t>
      </w:r>
      <w:r w:rsidR="0008400F" w:rsidRPr="00E065C2">
        <w:rPr>
          <w:rFonts w:eastAsia="Times New Roman" w:cs="Arial"/>
          <w:lang w:val="en-GB" w:eastAsia="en-GB"/>
        </w:rPr>
        <w:t>The trustees must be able to demonstrate</w:t>
      </w:r>
      <w:r w:rsidR="00754FD0">
        <w:rPr>
          <w:rFonts w:eastAsia="Times New Roman" w:cs="Arial"/>
          <w:lang w:val="en-GB" w:eastAsia="en-GB"/>
        </w:rPr>
        <w:t xml:space="preserve"> to the Authority </w:t>
      </w:r>
      <w:r w:rsidR="0008400F" w:rsidRPr="00E065C2">
        <w:rPr>
          <w:rFonts w:eastAsia="Times New Roman" w:cs="Arial"/>
          <w:lang w:val="en-GB" w:eastAsia="en-GB"/>
        </w:rPr>
        <w:t>that</w:t>
      </w:r>
      <w:r w:rsidR="00C020C5">
        <w:rPr>
          <w:rFonts w:eastAsia="Times New Roman" w:cs="Arial"/>
          <w:lang w:val="en-GB" w:eastAsia="en-GB"/>
        </w:rPr>
        <w:t xml:space="preserve"> the objective of</w:t>
      </w:r>
      <w:r w:rsidR="0008400F" w:rsidRPr="00E065C2">
        <w:rPr>
          <w:rFonts w:eastAsia="Times New Roman" w:cs="Arial"/>
          <w:lang w:val="en-GB" w:eastAsia="en-GB"/>
        </w:rPr>
        <w:t xml:space="preserve"> their</w:t>
      </w:r>
      <w:r w:rsidR="005D7A8E">
        <w:rPr>
          <w:rFonts w:eastAsia="Times New Roman" w:cs="Arial"/>
          <w:lang w:val="en-GB" w:eastAsia="en-GB"/>
        </w:rPr>
        <w:t xml:space="preserve"> risk management</w:t>
      </w:r>
      <w:r w:rsidR="0008400F" w:rsidRPr="00E065C2">
        <w:rPr>
          <w:rFonts w:eastAsia="Times New Roman" w:cs="Arial"/>
          <w:lang w:val="en-GB" w:eastAsia="en-GB"/>
        </w:rPr>
        <w:t xml:space="preserve"> decision</w:t>
      </w:r>
      <w:r w:rsidR="005D7A8E">
        <w:rPr>
          <w:rFonts w:eastAsia="Times New Roman" w:cs="Arial"/>
          <w:lang w:val="en-GB" w:eastAsia="en-GB"/>
        </w:rPr>
        <w:t>s</w:t>
      </w:r>
      <w:r w:rsidR="0008400F" w:rsidRPr="00E065C2">
        <w:rPr>
          <w:rFonts w:eastAsia="Times New Roman" w:cs="Arial"/>
          <w:lang w:val="en-GB" w:eastAsia="en-GB"/>
        </w:rPr>
        <w:t xml:space="preserve"> </w:t>
      </w:r>
      <w:r w:rsidR="00C020C5">
        <w:rPr>
          <w:rFonts w:eastAsia="Times New Roman" w:cs="Arial"/>
          <w:lang w:val="en-GB" w:eastAsia="en-GB"/>
        </w:rPr>
        <w:t>is to</w:t>
      </w:r>
      <w:r w:rsidR="0008400F" w:rsidRPr="00E065C2">
        <w:rPr>
          <w:rFonts w:eastAsia="Times New Roman" w:cs="Arial"/>
          <w:lang w:val="en-GB" w:eastAsia="en-GB"/>
        </w:rPr>
        <w:t xml:space="preserve"> support good member outcomes</w:t>
      </w:r>
      <w:r w:rsidRPr="00E065C2">
        <w:rPr>
          <w:rFonts w:eastAsia="Times New Roman" w:cs="Arial"/>
          <w:lang w:val="en-GB" w:eastAsia="en-GB"/>
        </w:rPr>
        <w:t>.</w:t>
      </w:r>
    </w:p>
    <w:p w14:paraId="525F8706" w14:textId="6F2FABE2" w:rsidR="00DA1F8B" w:rsidRPr="00BC14ED" w:rsidRDefault="007D0A70" w:rsidP="00343964">
      <w:pPr>
        <w:pStyle w:val="Heading3"/>
        <w:ind w:left="567" w:hanging="567"/>
      </w:pPr>
      <w:bookmarkStart w:id="27" w:name="_Toc147833277"/>
      <w:bookmarkStart w:id="28" w:name="_Toc147833580"/>
      <w:r w:rsidRPr="00BC14ED">
        <w:t>Integration into strategic decision making</w:t>
      </w:r>
      <w:bookmarkEnd w:id="27"/>
      <w:bookmarkEnd w:id="28"/>
    </w:p>
    <w:p w14:paraId="112C7704" w14:textId="14AA6A2E" w:rsidR="00F547AE" w:rsidRPr="00E065C2" w:rsidRDefault="00A379C8" w:rsidP="00343964">
      <w:pPr>
        <w:spacing w:after="240" w:line="276" w:lineRule="auto"/>
        <w:rPr>
          <w:rFonts w:cs="Arial"/>
          <w:bCs/>
          <w:lang w:val="en-GB"/>
        </w:rPr>
      </w:pPr>
      <w:bookmarkStart w:id="29" w:name="_Hlk140138979"/>
      <w:r w:rsidRPr="00E065C2">
        <w:rPr>
          <w:rFonts w:cs="Arial"/>
          <w:bCs/>
          <w:lang w:val="en-GB"/>
        </w:rPr>
        <w:t xml:space="preserve">The ORA results should </w:t>
      </w:r>
      <w:r w:rsidR="00C020C5">
        <w:rPr>
          <w:rFonts w:cs="Arial"/>
          <w:bCs/>
          <w:lang w:val="en-GB"/>
        </w:rPr>
        <w:t xml:space="preserve">be </w:t>
      </w:r>
      <w:r w:rsidR="0049489A">
        <w:rPr>
          <w:rFonts w:cs="Arial"/>
          <w:bCs/>
          <w:lang w:val="en-GB"/>
        </w:rPr>
        <w:t>considered</w:t>
      </w:r>
      <w:r w:rsidR="00C020C5">
        <w:rPr>
          <w:rFonts w:cs="Arial"/>
          <w:bCs/>
          <w:lang w:val="en-GB"/>
        </w:rPr>
        <w:t xml:space="preserve"> in</w:t>
      </w:r>
      <w:r w:rsidRPr="00E065C2">
        <w:rPr>
          <w:rFonts w:cs="Arial"/>
          <w:bCs/>
          <w:lang w:val="en-GB"/>
        </w:rPr>
        <w:t xml:space="preserve"> the scheme’s strategic decision making and there should</w:t>
      </w:r>
      <w:r w:rsidR="007D0A70">
        <w:rPr>
          <w:rFonts w:cs="Arial"/>
          <w:bCs/>
          <w:lang w:val="en-GB"/>
        </w:rPr>
        <w:t xml:space="preserve"> be</w:t>
      </w:r>
      <w:r w:rsidRPr="00E065C2">
        <w:rPr>
          <w:rFonts w:cs="Arial"/>
          <w:bCs/>
          <w:lang w:val="en-GB"/>
        </w:rPr>
        <w:t xml:space="preserve"> evidence to support this. </w:t>
      </w:r>
      <w:bookmarkEnd w:id="29"/>
    </w:p>
    <w:p w14:paraId="7B220F0D" w14:textId="13A4A4A1" w:rsidR="00DA1F8B" w:rsidRPr="00BC14ED" w:rsidRDefault="00DA1F8B" w:rsidP="00343964">
      <w:pPr>
        <w:pStyle w:val="Heading3"/>
        <w:ind w:left="567" w:hanging="567"/>
      </w:pPr>
      <w:bookmarkStart w:id="30" w:name="_Toc147833278"/>
      <w:bookmarkStart w:id="31" w:name="_Toc147833581"/>
      <w:r w:rsidRPr="00BC14ED">
        <w:t>Documentation and reporting</w:t>
      </w:r>
      <w:bookmarkEnd w:id="30"/>
      <w:bookmarkEnd w:id="31"/>
    </w:p>
    <w:p w14:paraId="4A1E268C" w14:textId="70147274" w:rsidR="00670BDE" w:rsidRPr="00E065C2" w:rsidRDefault="00007B61" w:rsidP="00343964">
      <w:pPr>
        <w:pStyle w:val="Default"/>
        <w:spacing w:after="240" w:line="276" w:lineRule="auto"/>
        <w:rPr>
          <w:rFonts w:eastAsia="Times New Roman"/>
          <w:lang w:val="en-GB" w:eastAsia="en-GB"/>
        </w:rPr>
      </w:pPr>
      <w:r w:rsidRPr="00E065C2">
        <w:rPr>
          <w:rFonts w:eastAsia="Times New Roman"/>
          <w:color w:val="auto"/>
          <w:lang w:val="en-GB" w:eastAsia="en-GB"/>
        </w:rPr>
        <w:t>The ORA should be documented in a comprehensive written report and include</w:t>
      </w:r>
      <w:r w:rsidR="00657BA4" w:rsidRPr="00E065C2">
        <w:rPr>
          <w:rFonts w:eastAsia="Times New Roman"/>
          <w:color w:val="auto"/>
          <w:lang w:val="en-GB" w:eastAsia="en-GB"/>
        </w:rPr>
        <w:t>:</w:t>
      </w:r>
    </w:p>
    <w:p w14:paraId="1E0932DE" w14:textId="5FAA9CCA" w:rsidR="00475835" w:rsidRPr="00E065C2" w:rsidRDefault="00657BA4" w:rsidP="00343964">
      <w:pPr>
        <w:pStyle w:val="ListParagraph"/>
        <w:numPr>
          <w:ilvl w:val="0"/>
          <w:numId w:val="5"/>
        </w:num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 w:rsidRPr="00E065C2">
        <w:rPr>
          <w:rFonts w:eastAsia="Times New Roman" w:cs="Arial"/>
          <w:lang w:val="en-GB" w:eastAsia="en-GB"/>
        </w:rPr>
        <w:t xml:space="preserve">a detailed account of </w:t>
      </w:r>
      <w:r w:rsidR="007D0A70">
        <w:rPr>
          <w:rFonts w:eastAsia="Times New Roman" w:cs="Arial"/>
          <w:lang w:val="en-GB" w:eastAsia="en-GB"/>
        </w:rPr>
        <w:t xml:space="preserve">how </w:t>
      </w:r>
      <w:r w:rsidRPr="00E065C2">
        <w:rPr>
          <w:rFonts w:eastAsia="Times New Roman" w:cs="Arial"/>
          <w:lang w:val="en-GB" w:eastAsia="en-GB"/>
        </w:rPr>
        <w:t>the scheme’s risk</w:t>
      </w:r>
      <w:r w:rsidR="007D0A70">
        <w:rPr>
          <w:rFonts w:eastAsia="Times New Roman" w:cs="Arial"/>
          <w:lang w:val="en-GB" w:eastAsia="en-GB"/>
        </w:rPr>
        <w:t>s were</w:t>
      </w:r>
      <w:r w:rsidRPr="00E065C2">
        <w:rPr>
          <w:rFonts w:eastAsia="Times New Roman" w:cs="Arial"/>
          <w:lang w:val="en-GB" w:eastAsia="en-GB"/>
        </w:rPr>
        <w:t xml:space="preserve"> identifi</w:t>
      </w:r>
      <w:r w:rsidR="007D0A70">
        <w:rPr>
          <w:rFonts w:eastAsia="Times New Roman" w:cs="Arial"/>
          <w:lang w:val="en-GB" w:eastAsia="en-GB"/>
        </w:rPr>
        <w:t>ed</w:t>
      </w:r>
      <w:r w:rsidRPr="00E065C2">
        <w:rPr>
          <w:rFonts w:eastAsia="Times New Roman" w:cs="Arial"/>
          <w:lang w:val="en-GB" w:eastAsia="en-GB"/>
        </w:rPr>
        <w:t xml:space="preserve">, </w:t>
      </w:r>
      <w:r w:rsidR="00C01F15" w:rsidRPr="00E065C2">
        <w:rPr>
          <w:rFonts w:eastAsia="Times New Roman" w:cs="Arial"/>
          <w:lang w:val="en-GB" w:eastAsia="en-GB"/>
        </w:rPr>
        <w:t>measur</w:t>
      </w:r>
      <w:r w:rsidR="00C01F15">
        <w:rPr>
          <w:rFonts w:eastAsia="Times New Roman" w:cs="Arial"/>
          <w:lang w:val="en-GB" w:eastAsia="en-GB"/>
        </w:rPr>
        <w:t>ed,</w:t>
      </w:r>
      <w:r w:rsidRPr="00E065C2">
        <w:rPr>
          <w:rFonts w:eastAsia="Times New Roman" w:cs="Arial"/>
          <w:lang w:val="en-GB" w:eastAsia="en-GB"/>
        </w:rPr>
        <w:t xml:space="preserve"> and evaluat</w:t>
      </w:r>
      <w:r w:rsidR="007D0A70">
        <w:rPr>
          <w:rFonts w:eastAsia="Times New Roman" w:cs="Arial"/>
          <w:lang w:val="en-GB" w:eastAsia="en-GB"/>
        </w:rPr>
        <w:t>ed</w:t>
      </w:r>
      <w:r w:rsidR="00960A35">
        <w:rPr>
          <w:rFonts w:eastAsia="Times New Roman" w:cs="Arial"/>
          <w:lang w:val="en-GB" w:eastAsia="en-GB"/>
        </w:rPr>
        <w:t>,</w:t>
      </w:r>
    </w:p>
    <w:p w14:paraId="2AA81A8E" w14:textId="47E2FCCE" w:rsidR="00657BA4" w:rsidRPr="00E065C2" w:rsidRDefault="00657BA4" w:rsidP="00343964">
      <w:pPr>
        <w:pStyle w:val="ListParagraph"/>
        <w:numPr>
          <w:ilvl w:val="0"/>
          <w:numId w:val="5"/>
        </w:num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 w:rsidRPr="00E065C2">
        <w:rPr>
          <w:rFonts w:eastAsia="Times New Roman" w:cs="Arial"/>
          <w:lang w:val="en-GB" w:eastAsia="en-GB"/>
        </w:rPr>
        <w:t xml:space="preserve">what </w:t>
      </w:r>
      <w:r w:rsidR="008371A1" w:rsidRPr="00E065C2">
        <w:rPr>
          <w:rFonts w:eastAsia="Times New Roman" w:cs="Arial"/>
          <w:lang w:val="en-GB" w:eastAsia="en-GB"/>
        </w:rPr>
        <w:t xml:space="preserve">additional </w:t>
      </w:r>
      <w:r w:rsidRPr="00E065C2">
        <w:rPr>
          <w:rFonts w:eastAsia="Times New Roman" w:cs="Arial"/>
          <w:lang w:val="en-GB" w:eastAsia="en-GB"/>
        </w:rPr>
        <w:t xml:space="preserve">mitigations </w:t>
      </w:r>
      <w:r w:rsidR="00F7270E" w:rsidRPr="00E065C2">
        <w:rPr>
          <w:rFonts w:eastAsia="Times New Roman" w:cs="Arial"/>
          <w:lang w:val="en-GB" w:eastAsia="en-GB"/>
        </w:rPr>
        <w:t xml:space="preserve">(if any) </w:t>
      </w:r>
      <w:r w:rsidRPr="00E065C2">
        <w:rPr>
          <w:rFonts w:eastAsia="Times New Roman" w:cs="Arial"/>
          <w:lang w:val="en-GB" w:eastAsia="en-GB"/>
        </w:rPr>
        <w:t>the trustees have</w:t>
      </w:r>
      <w:r w:rsidR="007D0A70">
        <w:rPr>
          <w:rFonts w:eastAsia="Times New Roman" w:cs="Arial"/>
          <w:lang w:val="en-GB" w:eastAsia="en-GB"/>
        </w:rPr>
        <w:t xml:space="preserve"> decided to implement to</w:t>
      </w:r>
      <w:r w:rsidRPr="00E065C2">
        <w:rPr>
          <w:rFonts w:eastAsia="Times New Roman" w:cs="Arial"/>
          <w:lang w:val="en-GB" w:eastAsia="en-GB"/>
        </w:rPr>
        <w:t xml:space="preserve"> bring any </w:t>
      </w:r>
      <w:r w:rsidR="008371A1" w:rsidRPr="00E065C2">
        <w:rPr>
          <w:rFonts w:eastAsia="Times New Roman" w:cs="Arial"/>
          <w:lang w:val="en-GB" w:eastAsia="en-GB"/>
        </w:rPr>
        <w:t xml:space="preserve">current or emerging </w:t>
      </w:r>
      <w:r w:rsidRPr="00E065C2">
        <w:rPr>
          <w:rFonts w:eastAsia="Times New Roman" w:cs="Arial"/>
          <w:lang w:val="en-GB" w:eastAsia="en-GB"/>
        </w:rPr>
        <w:t>material risks adequately under control</w:t>
      </w:r>
      <w:r w:rsidR="004E09D7" w:rsidRPr="00E065C2">
        <w:rPr>
          <w:rFonts w:eastAsia="Times New Roman" w:cs="Arial"/>
          <w:lang w:val="en-GB" w:eastAsia="en-GB"/>
        </w:rPr>
        <w:t>,</w:t>
      </w:r>
    </w:p>
    <w:p w14:paraId="493083DF" w14:textId="77DFFF99" w:rsidR="00670BDE" w:rsidRPr="00E065C2" w:rsidRDefault="00670BDE" w:rsidP="00343964">
      <w:pPr>
        <w:pStyle w:val="ListParagraph"/>
        <w:numPr>
          <w:ilvl w:val="0"/>
          <w:numId w:val="5"/>
        </w:numPr>
        <w:kinsoku w:val="0"/>
        <w:overflowPunct w:val="0"/>
        <w:spacing w:after="240" w:line="276" w:lineRule="auto"/>
        <w:textAlignment w:val="baseline"/>
        <w:rPr>
          <w:rFonts w:eastAsia="Times New Roman" w:cs="Arial"/>
          <w:strike/>
          <w:lang w:val="en-GB" w:eastAsia="en-GB"/>
        </w:rPr>
      </w:pPr>
      <w:r w:rsidRPr="00E065C2">
        <w:rPr>
          <w:rFonts w:cs="Arial"/>
        </w:rPr>
        <w:t>how the ORA findings will</w:t>
      </w:r>
      <w:r w:rsidR="00C33761">
        <w:rPr>
          <w:rFonts w:cs="Arial"/>
        </w:rPr>
        <w:t xml:space="preserve"> be</w:t>
      </w:r>
      <w:r w:rsidRPr="00E065C2">
        <w:rPr>
          <w:rFonts w:cs="Arial"/>
        </w:rPr>
        <w:t xml:space="preserve">, or have been, </w:t>
      </w:r>
      <w:r w:rsidRPr="00E065C2">
        <w:rPr>
          <w:rFonts w:cs="Arial"/>
          <w:lang w:val="en-GB"/>
        </w:rPr>
        <w:t xml:space="preserve">integrated into the risk management </w:t>
      </w:r>
      <w:r w:rsidR="008371A1" w:rsidRPr="00E065C2">
        <w:rPr>
          <w:rFonts w:cs="Arial"/>
          <w:lang w:val="en-GB"/>
        </w:rPr>
        <w:t xml:space="preserve">system </w:t>
      </w:r>
      <w:r w:rsidRPr="00E065C2">
        <w:rPr>
          <w:rFonts w:cs="Arial"/>
          <w:lang w:val="en-GB"/>
        </w:rPr>
        <w:t>of the scheme,</w:t>
      </w:r>
      <w:r w:rsidR="0049489A">
        <w:rPr>
          <w:rFonts w:cs="Arial"/>
          <w:lang w:val="en-GB"/>
        </w:rPr>
        <w:t xml:space="preserve"> and</w:t>
      </w:r>
    </w:p>
    <w:p w14:paraId="14A4BE6A" w14:textId="18159AF8" w:rsidR="00670BDE" w:rsidRPr="00E065C2" w:rsidRDefault="008F3EF7" w:rsidP="00343964">
      <w:pPr>
        <w:pStyle w:val="ListParagraph"/>
        <w:numPr>
          <w:ilvl w:val="0"/>
          <w:numId w:val="5"/>
        </w:numPr>
        <w:kinsoku w:val="0"/>
        <w:overflowPunct w:val="0"/>
        <w:spacing w:after="240" w:line="276" w:lineRule="auto"/>
        <w:textAlignment w:val="baseline"/>
        <w:rPr>
          <w:rFonts w:eastAsia="Times New Roman" w:cs="Arial"/>
          <w:lang w:val="en-GB" w:eastAsia="en-GB"/>
        </w:rPr>
      </w:pPr>
      <w:r>
        <w:rPr>
          <w:rFonts w:eastAsia="Times New Roman" w:cs="Arial"/>
          <w:lang w:val="en-GB" w:eastAsia="en-GB"/>
        </w:rPr>
        <w:t>the planned date</w:t>
      </w:r>
      <w:r w:rsidR="00670BDE" w:rsidRPr="00E065C2">
        <w:rPr>
          <w:rFonts w:eastAsia="Times New Roman" w:cs="Arial"/>
          <w:lang w:val="en-GB" w:eastAsia="en-GB"/>
        </w:rPr>
        <w:t xml:space="preserve"> of </w:t>
      </w:r>
      <w:r w:rsidR="00505A9B" w:rsidRPr="00E065C2">
        <w:rPr>
          <w:rFonts w:eastAsia="Times New Roman" w:cs="Arial"/>
          <w:lang w:val="en-GB" w:eastAsia="en-GB"/>
        </w:rPr>
        <w:t>the next</w:t>
      </w:r>
      <w:r w:rsidR="00670BDE" w:rsidRPr="00E065C2">
        <w:rPr>
          <w:rFonts w:eastAsia="Times New Roman" w:cs="Arial"/>
          <w:lang w:val="en-GB" w:eastAsia="en-GB"/>
        </w:rPr>
        <w:t xml:space="preserve"> ORA. </w:t>
      </w:r>
    </w:p>
    <w:p w14:paraId="4D6AF069" w14:textId="0C2736DF" w:rsidR="005F767A" w:rsidRPr="00F2161F" w:rsidRDefault="00007B61" w:rsidP="00343964">
      <w:pPr>
        <w:kinsoku w:val="0"/>
        <w:overflowPunct w:val="0"/>
        <w:spacing w:after="240" w:line="276" w:lineRule="auto"/>
        <w:textAlignment w:val="baseline"/>
        <w:rPr>
          <w:rFonts w:eastAsia="Arial" w:cs="Arial"/>
          <w:lang w:val="en-GB" w:eastAsia="en-GB"/>
        </w:rPr>
      </w:pPr>
      <w:r w:rsidRPr="00E065C2">
        <w:rPr>
          <w:rFonts w:eastAsia="Arial" w:cs="Arial"/>
          <w:lang w:val="en-GB" w:eastAsia="en-GB"/>
        </w:rPr>
        <w:t>The report should be supported by evidence</w:t>
      </w:r>
      <w:r w:rsidR="00A379C8" w:rsidRPr="00E065C2">
        <w:rPr>
          <w:rFonts w:eastAsia="Arial" w:cs="Arial"/>
          <w:lang w:val="en-GB" w:eastAsia="en-GB"/>
        </w:rPr>
        <w:t xml:space="preserve"> where available</w:t>
      </w:r>
      <w:r w:rsidRPr="00E065C2">
        <w:rPr>
          <w:rFonts w:eastAsia="Arial" w:cs="Arial"/>
          <w:lang w:val="en-GB" w:eastAsia="en-GB"/>
        </w:rPr>
        <w:t xml:space="preserve"> that underpins the findings</w:t>
      </w:r>
      <w:r w:rsidR="00032D94">
        <w:rPr>
          <w:rFonts w:eastAsia="Arial" w:cs="Arial"/>
          <w:lang w:val="en-GB" w:eastAsia="en-GB"/>
        </w:rPr>
        <w:t xml:space="preserve"> and</w:t>
      </w:r>
      <w:r w:rsidR="00032D94" w:rsidRPr="00E065C2">
        <w:rPr>
          <w:rFonts w:eastAsia="Arial" w:cs="Arial"/>
          <w:lang w:val="en-GB" w:eastAsia="en-GB"/>
        </w:rPr>
        <w:t xml:space="preserve"> </w:t>
      </w:r>
      <w:r w:rsidR="00670BDE" w:rsidRPr="00E065C2">
        <w:rPr>
          <w:rFonts w:eastAsia="Arial" w:cs="Arial"/>
          <w:lang w:val="en-GB" w:eastAsia="en-GB"/>
        </w:rPr>
        <w:t>decisions</w:t>
      </w:r>
      <w:r w:rsidRPr="00E065C2">
        <w:rPr>
          <w:rFonts w:eastAsia="Arial" w:cs="Arial"/>
          <w:lang w:val="en-GB" w:eastAsia="en-GB"/>
        </w:rPr>
        <w:t xml:space="preserve"> by the trustees</w:t>
      </w:r>
      <w:r w:rsidR="00A379C8" w:rsidRPr="00E065C2">
        <w:rPr>
          <w:rFonts w:eastAsia="Arial" w:cs="Arial"/>
          <w:lang w:val="en-GB" w:eastAsia="en-GB"/>
        </w:rPr>
        <w:t>. Where evidence is unavailable, trustees should document in the report</w:t>
      </w:r>
      <w:r w:rsidR="001414CF" w:rsidRPr="00E065C2">
        <w:rPr>
          <w:rFonts w:eastAsia="Arial" w:cs="Arial"/>
          <w:lang w:val="en-GB" w:eastAsia="en-GB"/>
        </w:rPr>
        <w:t xml:space="preserve"> </w:t>
      </w:r>
      <w:r w:rsidR="00960A35">
        <w:rPr>
          <w:rFonts w:eastAsia="Arial" w:cs="Arial"/>
          <w:lang w:val="en-GB" w:eastAsia="en-GB"/>
        </w:rPr>
        <w:t xml:space="preserve">how and why findings have been adopted and how and why decisions have been made </w:t>
      </w:r>
      <w:proofErr w:type="gramStart"/>
      <w:r w:rsidR="00F578E7">
        <w:rPr>
          <w:rFonts w:eastAsia="Arial" w:cs="Arial"/>
          <w:lang w:val="en-GB" w:eastAsia="en-GB"/>
        </w:rPr>
        <w:t xml:space="preserve">as a result </w:t>
      </w:r>
      <w:r w:rsidR="00C01F15">
        <w:rPr>
          <w:rFonts w:eastAsia="Arial" w:cs="Arial"/>
          <w:lang w:val="en-GB" w:eastAsia="en-GB"/>
        </w:rPr>
        <w:t>of</w:t>
      </w:r>
      <w:proofErr w:type="gramEnd"/>
      <w:r w:rsidR="00960A35">
        <w:rPr>
          <w:rFonts w:eastAsia="Arial" w:cs="Arial"/>
          <w:lang w:val="en-GB" w:eastAsia="en-GB"/>
        </w:rPr>
        <w:t xml:space="preserve"> the ORA.</w:t>
      </w:r>
    </w:p>
    <w:p w14:paraId="2E49CD3F" w14:textId="7C3D6713" w:rsidR="00375A13" w:rsidRPr="00BC14ED" w:rsidRDefault="00AB3E17" w:rsidP="00343964">
      <w:pPr>
        <w:pStyle w:val="Heading3"/>
        <w:ind w:left="567" w:hanging="567"/>
      </w:pPr>
      <w:bookmarkStart w:id="32" w:name="_Toc147833279"/>
      <w:bookmarkStart w:id="33" w:name="_Toc147833582"/>
      <w:r w:rsidRPr="00BC14ED">
        <w:t>Appendix: Own-risk assessment considerations</w:t>
      </w:r>
      <w:bookmarkEnd w:id="32"/>
      <w:bookmarkEnd w:id="3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3E17" w:rsidRPr="0025514D" w14:paraId="3D1ECD80" w14:textId="77777777" w:rsidTr="00AB3E17">
        <w:tc>
          <w:tcPr>
            <w:tcW w:w="9016" w:type="dxa"/>
            <w:shd w:val="clear" w:color="auto" w:fill="002060"/>
          </w:tcPr>
          <w:p w14:paraId="114FCAAB" w14:textId="1DADF44F" w:rsidR="00AB3E17" w:rsidRPr="00060408" w:rsidRDefault="00AB3E17" w:rsidP="00343964">
            <w:pPr>
              <w:pStyle w:val="Heading2"/>
              <w:spacing w:before="120" w:after="120"/>
              <w:ind w:left="731" w:hanging="731"/>
              <w:rPr>
                <w:sz w:val="24"/>
                <w:szCs w:val="24"/>
              </w:rPr>
            </w:pPr>
            <w:bookmarkStart w:id="34" w:name="_Toc145257674"/>
            <w:bookmarkStart w:id="35" w:name="_Toc147322624"/>
            <w:bookmarkStart w:id="36" w:name="_Toc147833280"/>
            <w:bookmarkStart w:id="37" w:name="_Toc147833583"/>
            <w:bookmarkStart w:id="38" w:name="APPENDIX"/>
            <w:r w:rsidRPr="00060408">
              <w:rPr>
                <w:sz w:val="24"/>
                <w:szCs w:val="24"/>
              </w:rPr>
              <w:t>Governance and process</w:t>
            </w:r>
            <w:bookmarkEnd w:id="34"/>
            <w:bookmarkEnd w:id="35"/>
            <w:bookmarkEnd w:id="36"/>
            <w:bookmarkEnd w:id="37"/>
          </w:p>
        </w:tc>
      </w:tr>
      <w:tr w:rsidR="00AB3E17" w:rsidRPr="0025514D" w14:paraId="62E80A1F" w14:textId="77777777" w:rsidTr="00AB3E17">
        <w:tc>
          <w:tcPr>
            <w:tcW w:w="9016" w:type="dxa"/>
          </w:tcPr>
          <w:p w14:paraId="127B8B92" w14:textId="7033D2FC" w:rsidR="00AB3E17" w:rsidRPr="006B3B59" w:rsidRDefault="00AB3E17" w:rsidP="00343964">
            <w:pPr>
              <w:pStyle w:val="ListParagraph"/>
              <w:numPr>
                <w:ilvl w:val="0"/>
                <w:numId w:val="6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 xml:space="preserve">Has a risk management key function holder </w:t>
            </w:r>
            <w:r w:rsidR="00160CCD">
              <w:rPr>
                <w:rFonts w:eastAsia="Times New Roman" w:cs="Arial"/>
                <w:lang w:val="en-GB" w:eastAsia="en-GB"/>
              </w:rPr>
              <w:t xml:space="preserve">(KFH) </w:t>
            </w:r>
            <w:r w:rsidRPr="006B3B59">
              <w:rPr>
                <w:rFonts w:eastAsia="Times New Roman" w:cs="Arial"/>
                <w:lang w:val="en-GB" w:eastAsia="en-GB"/>
              </w:rPr>
              <w:t xml:space="preserve">been appointed to support the development of the </w:t>
            </w:r>
            <w:r w:rsidR="00D932B3">
              <w:rPr>
                <w:rFonts w:eastAsia="Times New Roman" w:cs="Arial"/>
                <w:lang w:val="en-GB" w:eastAsia="en-GB"/>
              </w:rPr>
              <w:t>own-risk assessment (</w:t>
            </w:r>
            <w:r w:rsidRPr="006B3B59">
              <w:rPr>
                <w:rFonts w:eastAsia="Times New Roman" w:cs="Arial"/>
                <w:lang w:val="en-GB" w:eastAsia="en-GB"/>
              </w:rPr>
              <w:t>ORA</w:t>
            </w:r>
            <w:r w:rsidR="00D932B3">
              <w:rPr>
                <w:rFonts w:eastAsia="Times New Roman" w:cs="Arial"/>
                <w:lang w:val="en-GB" w:eastAsia="en-GB"/>
              </w:rPr>
              <w:t>)</w:t>
            </w:r>
            <w:r w:rsidRPr="006B3B59">
              <w:rPr>
                <w:rFonts w:eastAsia="Times New Roman" w:cs="Arial"/>
                <w:lang w:val="en-GB" w:eastAsia="en-GB"/>
              </w:rPr>
              <w:t>?</w:t>
            </w:r>
          </w:p>
          <w:p w14:paraId="28A6281F" w14:textId="77777777" w:rsidR="00AB3E17" w:rsidRPr="006B3B59" w:rsidRDefault="00AB3E17" w:rsidP="00343964">
            <w:pPr>
              <w:pStyle w:val="ListParagraph"/>
              <w:numPr>
                <w:ilvl w:val="0"/>
                <w:numId w:val="6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Are the roles and responsibilities of all those involved in the ORA process understood and documented?</w:t>
            </w:r>
          </w:p>
          <w:p w14:paraId="095DFD10" w14:textId="77777777" w:rsidR="00AB3E17" w:rsidRPr="006B3B59" w:rsidRDefault="00AB3E17" w:rsidP="00343964">
            <w:pPr>
              <w:pStyle w:val="ListParagraph"/>
              <w:numPr>
                <w:ilvl w:val="0"/>
                <w:numId w:val="6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Has the ORA process been documented and approved by the trustees, including a timeline for completing the ORA?</w:t>
            </w:r>
          </w:p>
          <w:p w14:paraId="61BE76FF" w14:textId="2108DE7A" w:rsidR="00AB3E17" w:rsidRPr="006B3B59" w:rsidRDefault="00AB3E17" w:rsidP="00343964">
            <w:pPr>
              <w:pStyle w:val="ListParagraph"/>
              <w:numPr>
                <w:ilvl w:val="0"/>
                <w:numId w:val="6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Is the ORA process compliant with legislative and regulatory requirements</w:t>
            </w:r>
            <w:r w:rsidR="00227969" w:rsidRPr="006B3B59">
              <w:rPr>
                <w:rFonts w:eastAsia="Times New Roman" w:cs="Arial"/>
                <w:lang w:val="en-GB" w:eastAsia="en-GB"/>
              </w:rPr>
              <w:t xml:space="preserve">, including the </w:t>
            </w:r>
            <w:r w:rsidR="00227969" w:rsidRPr="006B3B59">
              <w:rPr>
                <w:rFonts w:cs="Arial"/>
              </w:rPr>
              <w:t>Code of Practice and the Pensions Act</w:t>
            </w:r>
            <w:r w:rsidR="00160CCD">
              <w:rPr>
                <w:rFonts w:cs="Arial"/>
              </w:rPr>
              <w:t xml:space="preserve">, </w:t>
            </w:r>
            <w:r w:rsidR="00160CCD" w:rsidRPr="002415BB">
              <w:t>1990, as amended</w:t>
            </w:r>
            <w:r w:rsidR="00227969" w:rsidRPr="006B3B59">
              <w:rPr>
                <w:rFonts w:cs="Arial"/>
              </w:rPr>
              <w:t>?</w:t>
            </w:r>
          </w:p>
        </w:tc>
      </w:tr>
      <w:tr w:rsidR="00AB3E17" w:rsidRPr="0025514D" w14:paraId="7B837E50" w14:textId="77777777" w:rsidTr="00AB3E17">
        <w:tc>
          <w:tcPr>
            <w:tcW w:w="9016" w:type="dxa"/>
            <w:shd w:val="clear" w:color="auto" w:fill="002060"/>
          </w:tcPr>
          <w:p w14:paraId="7AD94045" w14:textId="3E1AA04D" w:rsidR="00AB3E17" w:rsidRPr="00060408" w:rsidRDefault="0025514D" w:rsidP="00343964">
            <w:pPr>
              <w:pStyle w:val="Heading2"/>
              <w:spacing w:before="120" w:after="120"/>
              <w:ind w:left="731" w:hanging="731"/>
              <w:rPr>
                <w:sz w:val="24"/>
                <w:szCs w:val="24"/>
              </w:rPr>
            </w:pPr>
            <w:bookmarkStart w:id="39" w:name="_Toc145257675"/>
            <w:bookmarkStart w:id="40" w:name="_Toc147322625"/>
            <w:bookmarkStart w:id="41" w:name="_Toc147833281"/>
            <w:bookmarkStart w:id="42" w:name="_Toc147833584"/>
            <w:r w:rsidRPr="00060408">
              <w:rPr>
                <w:sz w:val="24"/>
                <w:szCs w:val="24"/>
              </w:rPr>
              <w:lastRenderedPageBreak/>
              <w:t>Risk identification</w:t>
            </w:r>
            <w:bookmarkEnd w:id="39"/>
            <w:bookmarkEnd w:id="40"/>
            <w:bookmarkEnd w:id="41"/>
            <w:bookmarkEnd w:id="42"/>
          </w:p>
        </w:tc>
      </w:tr>
      <w:tr w:rsidR="00AB3E17" w:rsidRPr="0025514D" w14:paraId="3ABD4547" w14:textId="77777777" w:rsidTr="00AB3E17">
        <w:tc>
          <w:tcPr>
            <w:tcW w:w="9016" w:type="dxa"/>
          </w:tcPr>
          <w:p w14:paraId="6E860663" w14:textId="77777777" w:rsidR="00AB3E17" w:rsidRPr="006B3B59" w:rsidRDefault="00AB3E17" w:rsidP="00343964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bookmarkStart w:id="43" w:name="_Hlk140160463"/>
            <w:r w:rsidRPr="006B3B59">
              <w:rPr>
                <w:rFonts w:eastAsia="Times New Roman" w:cs="Arial"/>
                <w:lang w:val="en-GB" w:eastAsia="en-GB"/>
              </w:rPr>
              <w:t>Have all risks areas been considered such as, but not limited to:</w:t>
            </w:r>
          </w:p>
          <w:p w14:paraId="26B00837" w14:textId="5C162C70" w:rsidR="00AB3E17" w:rsidRPr="006B3B59" w:rsidRDefault="006B6CE6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s</w:t>
            </w:r>
            <w:r w:rsidR="00AB3E17" w:rsidRPr="006B3B59">
              <w:rPr>
                <w:rFonts w:eastAsia="Times New Roman" w:cs="Arial"/>
                <w:lang w:val="en-GB" w:eastAsia="en-GB"/>
              </w:rPr>
              <w:t>cheme governance and management risks such as conflicts of interest,</w:t>
            </w:r>
          </w:p>
          <w:p w14:paraId="4A37F062" w14:textId="59B3AC16" w:rsidR="00AB3E17" w:rsidRPr="006B3B59" w:rsidRDefault="006B6CE6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c</w:t>
            </w:r>
            <w:r w:rsidR="00AB3E17" w:rsidRPr="006B3B59">
              <w:rPr>
                <w:rFonts w:eastAsia="Times New Roman" w:cs="Arial"/>
                <w:lang w:val="en-GB" w:eastAsia="en-GB"/>
              </w:rPr>
              <w:t>ounterparty risk such as with lenders and sponsors,</w:t>
            </w:r>
          </w:p>
          <w:p w14:paraId="5F0DC79A" w14:textId="5CDDBB4E" w:rsidR="00AB3E17" w:rsidRPr="006B3B59" w:rsidRDefault="006B6CE6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o</w:t>
            </w:r>
            <w:r w:rsidR="00AB3E17" w:rsidRPr="006B3B59">
              <w:rPr>
                <w:rFonts w:eastAsia="Times New Roman" w:cs="Arial"/>
                <w:lang w:val="en-GB" w:eastAsia="en-GB"/>
              </w:rPr>
              <w:t>perational risk including administration, outsourcing, cyber security, data protection and fraud,</w:t>
            </w:r>
          </w:p>
          <w:p w14:paraId="2EAF3D48" w14:textId="41678E15" w:rsidR="00AB3E17" w:rsidRPr="006B3B59" w:rsidRDefault="006B6CE6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>
              <w:rPr>
                <w:rFonts w:cs="Arial"/>
              </w:rPr>
              <w:t>r</w:t>
            </w:r>
            <w:r w:rsidR="00AB3E17" w:rsidRPr="006B3B59">
              <w:rPr>
                <w:rFonts w:cs="Arial"/>
              </w:rPr>
              <w:t>isks related to funding</w:t>
            </w:r>
            <w:r w:rsidR="00AB3E17" w:rsidRPr="006B3B59">
              <w:rPr>
                <w:rFonts w:eastAsia="Times New Roman" w:cs="Arial"/>
                <w:lang w:val="en-GB" w:eastAsia="en-GB"/>
              </w:rPr>
              <w:t xml:space="preserve"> and sponsor covenant,</w:t>
            </w:r>
          </w:p>
          <w:p w14:paraId="13CEC0EF" w14:textId="3CC280F0" w:rsidR="00AB3E17" w:rsidRPr="006B3B59" w:rsidRDefault="006B6CE6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>
              <w:rPr>
                <w:rFonts w:cs="Arial"/>
              </w:rPr>
              <w:t>r</w:t>
            </w:r>
            <w:r w:rsidR="00AB3E17" w:rsidRPr="006B3B59">
              <w:rPr>
                <w:rFonts w:cs="Arial"/>
              </w:rPr>
              <w:t xml:space="preserve">isks related to financial management including </w:t>
            </w:r>
            <w:r w:rsidR="00AB3E17" w:rsidRPr="006B3B59">
              <w:rPr>
                <w:rFonts w:eastAsia="Times New Roman" w:cs="Arial"/>
                <w:lang w:val="en-GB" w:eastAsia="en-GB"/>
              </w:rPr>
              <w:t>asset and liability management and mis-matching risk,</w:t>
            </w:r>
          </w:p>
          <w:p w14:paraId="7DCC5920" w14:textId="0CD951B4" w:rsidR="00AB3E17" w:rsidRPr="006B3B59" w:rsidRDefault="006B6CE6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p</w:t>
            </w:r>
            <w:r w:rsidR="00AB3E17" w:rsidRPr="006B3B59">
              <w:rPr>
                <w:rFonts w:eastAsia="Times New Roman" w:cs="Arial"/>
                <w:lang w:val="en-GB" w:eastAsia="en-GB"/>
              </w:rPr>
              <w:t>ensions liability and longevity risk,</w:t>
            </w:r>
          </w:p>
          <w:p w14:paraId="23842BB2" w14:textId="08202A0E" w:rsidR="00AB3E17" w:rsidRPr="006B3B59" w:rsidRDefault="006B6CE6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l</w:t>
            </w:r>
            <w:r w:rsidR="00AB3E17" w:rsidRPr="006B3B59">
              <w:rPr>
                <w:rFonts w:eastAsia="Times New Roman" w:cs="Arial"/>
                <w:lang w:val="en-GB" w:eastAsia="en-GB"/>
              </w:rPr>
              <w:t>iquidity, investment concentration and strategy risk,</w:t>
            </w:r>
          </w:p>
          <w:p w14:paraId="208D03F0" w14:textId="77777777" w:rsidR="00AB3E17" w:rsidRPr="006B3B59" w:rsidRDefault="00AB3E17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ESG risk in relation to traditional prudential risks, market interest rates and inflation risks,</w:t>
            </w:r>
          </w:p>
          <w:p w14:paraId="5CDCD179" w14:textId="182D1A91" w:rsidR="00AB3E17" w:rsidRPr="006B3B59" w:rsidRDefault="006B6CE6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m</w:t>
            </w:r>
            <w:r w:rsidR="00AB3E17" w:rsidRPr="006B3B59">
              <w:rPr>
                <w:rFonts w:eastAsia="Times New Roman" w:cs="Arial"/>
                <w:lang w:val="en-GB" w:eastAsia="en-GB"/>
              </w:rPr>
              <w:t>arket, equity</w:t>
            </w:r>
            <w:r>
              <w:rPr>
                <w:rFonts w:eastAsia="Times New Roman" w:cs="Arial"/>
                <w:lang w:val="en-GB" w:eastAsia="en-GB"/>
              </w:rPr>
              <w:t xml:space="preserve"> and</w:t>
            </w:r>
            <w:r w:rsidR="00AB3E17" w:rsidRPr="006B3B59">
              <w:rPr>
                <w:rFonts w:eastAsia="Times New Roman" w:cs="Arial"/>
                <w:lang w:val="en-GB" w:eastAsia="en-GB"/>
              </w:rPr>
              <w:t xml:space="preserve"> property risk, including derivatives, securitisations, and similar commitments,</w:t>
            </w:r>
          </w:p>
          <w:p w14:paraId="1E5CED25" w14:textId="1560D8BD" w:rsidR="00AB3E17" w:rsidRPr="006B3B59" w:rsidRDefault="006B6CE6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o</w:t>
            </w:r>
            <w:r w:rsidR="00AB3E17" w:rsidRPr="006B3B59">
              <w:rPr>
                <w:rFonts w:eastAsia="Times New Roman" w:cs="Arial"/>
                <w:lang w:val="en-GB" w:eastAsia="en-GB"/>
              </w:rPr>
              <w:t xml:space="preserve">ther risks, scheme specific risks such as cross-border activities and reputational risk, </w:t>
            </w:r>
            <w:bookmarkEnd w:id="43"/>
          </w:p>
          <w:p w14:paraId="6E026447" w14:textId="3F6776A5" w:rsidR="00AB3E17" w:rsidRPr="006B3B59" w:rsidRDefault="006B6CE6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r</w:t>
            </w:r>
            <w:r w:rsidR="00AB3E17" w:rsidRPr="006B3B59">
              <w:rPr>
                <w:rFonts w:eastAsia="Times New Roman" w:cs="Arial"/>
                <w:lang w:val="en-GB" w:eastAsia="en-GB"/>
              </w:rPr>
              <w:t>isk related to non-compliance with legal or regulatory requirements,</w:t>
            </w:r>
            <w:r>
              <w:rPr>
                <w:rFonts w:eastAsia="Times New Roman" w:cs="Arial"/>
                <w:lang w:val="en-GB" w:eastAsia="en-GB"/>
              </w:rPr>
              <w:t xml:space="preserve"> and</w:t>
            </w:r>
          </w:p>
          <w:p w14:paraId="6CCDEEB4" w14:textId="7F3F6351" w:rsidR="00AB3E17" w:rsidRPr="006B3B59" w:rsidRDefault="006B6CE6" w:rsidP="00343964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>
              <w:rPr>
                <w:rFonts w:cs="Arial"/>
              </w:rPr>
              <w:t>r</w:t>
            </w:r>
            <w:r w:rsidR="00AB3E17" w:rsidRPr="006B3B59">
              <w:rPr>
                <w:rFonts w:cs="Arial"/>
              </w:rPr>
              <w:t>isk of internal control failures.</w:t>
            </w:r>
          </w:p>
          <w:p w14:paraId="334B536C" w14:textId="77777777" w:rsidR="00AB3E17" w:rsidRPr="006B3B59" w:rsidRDefault="00AB3E17" w:rsidP="00343964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 xml:space="preserve">Have </w:t>
            </w:r>
            <w:r w:rsidRPr="006B3B59">
              <w:rPr>
                <w:rFonts w:cs="Arial"/>
              </w:rPr>
              <w:t xml:space="preserve">risks to members’ benefits been considered, including the assessment of risks that affect </w:t>
            </w:r>
            <w:proofErr w:type="gramStart"/>
            <w:r w:rsidRPr="006B3B59">
              <w:rPr>
                <w:rFonts w:cs="Arial"/>
              </w:rPr>
              <w:t>particular classes</w:t>
            </w:r>
            <w:proofErr w:type="gramEnd"/>
            <w:r w:rsidRPr="006B3B59">
              <w:rPr>
                <w:rFonts w:cs="Arial"/>
              </w:rPr>
              <w:t xml:space="preserve"> of members (such as active, deferred, and pensioner members)?</w:t>
            </w:r>
          </w:p>
          <w:p w14:paraId="6BCC1C97" w14:textId="77777777" w:rsidR="00AB3E17" w:rsidRPr="006B3B59" w:rsidRDefault="00AB3E17" w:rsidP="00343964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 xml:space="preserve">Have the above risk areas been considered </w:t>
            </w:r>
            <w:proofErr w:type="gramStart"/>
            <w:r w:rsidRPr="006B3B59">
              <w:rPr>
                <w:rFonts w:eastAsia="Times New Roman" w:cs="Arial"/>
                <w:lang w:val="en-GB" w:eastAsia="en-GB"/>
              </w:rPr>
              <w:t>with regard to</w:t>
            </w:r>
            <w:proofErr w:type="gramEnd"/>
            <w:r w:rsidRPr="006B3B59">
              <w:rPr>
                <w:rFonts w:eastAsia="Times New Roman" w:cs="Arial"/>
                <w:lang w:val="en-GB" w:eastAsia="en-GB"/>
              </w:rPr>
              <w:t xml:space="preserve"> the size, nature, scale, and complexity of the scheme?</w:t>
            </w:r>
          </w:p>
          <w:p w14:paraId="1071BC34" w14:textId="77777777" w:rsidR="00AB3E17" w:rsidRPr="006B3B59" w:rsidRDefault="00AB3E17" w:rsidP="00343964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Have potential future or emerging risks been considered?</w:t>
            </w:r>
          </w:p>
          <w:p w14:paraId="7E91CEF3" w14:textId="25216091" w:rsidR="00AB3E17" w:rsidRPr="006B3B59" w:rsidRDefault="00AB3E17" w:rsidP="00343964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rPr>
                <w:rFonts w:cs="Arial"/>
                <w:bCs/>
                <w:lang w:val="en-GB"/>
              </w:rPr>
            </w:pPr>
            <w:r w:rsidRPr="006B3B59">
              <w:rPr>
                <w:rFonts w:cs="Arial"/>
                <w:bCs/>
                <w:lang w:val="en-GB"/>
              </w:rPr>
              <w:t>For risks that may not be covered in the ORA, is the rationale for this documented so that it is clear the risk has been considered rather than ignored?</w:t>
            </w:r>
          </w:p>
        </w:tc>
      </w:tr>
      <w:tr w:rsidR="00AB3E17" w:rsidRPr="0025514D" w14:paraId="41695552" w14:textId="77777777" w:rsidTr="00AB3E17">
        <w:tc>
          <w:tcPr>
            <w:tcW w:w="9016" w:type="dxa"/>
            <w:shd w:val="clear" w:color="auto" w:fill="002060"/>
          </w:tcPr>
          <w:p w14:paraId="0A177828" w14:textId="69E2EC24" w:rsidR="00AB3E17" w:rsidRPr="00060408" w:rsidRDefault="00AB3E17" w:rsidP="00343964">
            <w:pPr>
              <w:pStyle w:val="Heading2"/>
              <w:spacing w:before="120" w:after="120"/>
              <w:ind w:left="731" w:hanging="731"/>
              <w:rPr>
                <w:sz w:val="24"/>
                <w:szCs w:val="24"/>
              </w:rPr>
            </w:pPr>
            <w:bookmarkStart w:id="44" w:name="_Toc142047492"/>
            <w:bookmarkStart w:id="45" w:name="_Toc142640456"/>
            <w:bookmarkStart w:id="46" w:name="_Toc142644773"/>
            <w:bookmarkStart w:id="47" w:name="_Toc142644876"/>
            <w:bookmarkStart w:id="48" w:name="_Toc144909046"/>
            <w:bookmarkStart w:id="49" w:name="_Toc145251873"/>
            <w:bookmarkStart w:id="50" w:name="_Toc145257676"/>
            <w:bookmarkStart w:id="51" w:name="_Toc147322626"/>
            <w:bookmarkStart w:id="52" w:name="_Toc147833282"/>
            <w:bookmarkStart w:id="53" w:name="_Toc147833585"/>
            <w:r w:rsidRPr="00060408">
              <w:rPr>
                <w:sz w:val="24"/>
                <w:szCs w:val="24"/>
              </w:rPr>
              <w:t>Measurement and evaluation</w:t>
            </w:r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</w:tc>
      </w:tr>
      <w:tr w:rsidR="00AB3E17" w:rsidRPr="0025514D" w14:paraId="3A2997EF" w14:textId="77777777" w:rsidTr="00AB3E17">
        <w:tc>
          <w:tcPr>
            <w:tcW w:w="9016" w:type="dxa"/>
          </w:tcPr>
          <w:p w14:paraId="779E5620" w14:textId="77777777" w:rsidR="00AB3E17" w:rsidRPr="006B3B59" w:rsidRDefault="00AB3E17" w:rsidP="00343964">
            <w:pPr>
              <w:pStyle w:val="ListParagraph"/>
              <w:numPr>
                <w:ilvl w:val="0"/>
                <w:numId w:val="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Is there an appropriate risk measurement methodology and metrics in place?</w:t>
            </w:r>
          </w:p>
          <w:p w14:paraId="105B0782" w14:textId="77777777" w:rsidR="00AB3E17" w:rsidRPr="006B3B59" w:rsidRDefault="00AB3E17" w:rsidP="00343964">
            <w:pPr>
              <w:pStyle w:val="ListParagraph"/>
              <w:numPr>
                <w:ilvl w:val="0"/>
                <w:numId w:val="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Is there an agreed use of quantitative data, e.g., financial or statistical data?</w:t>
            </w:r>
          </w:p>
          <w:p w14:paraId="0F3BBFB3" w14:textId="77777777" w:rsidR="00AB3E17" w:rsidRPr="006B3B59" w:rsidRDefault="00AB3E17" w:rsidP="00343964">
            <w:pPr>
              <w:pStyle w:val="ListParagraph"/>
              <w:numPr>
                <w:ilvl w:val="0"/>
                <w:numId w:val="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Is there an agreed use of qualitative data, e.g., expert opinions or scenario-based testing?</w:t>
            </w:r>
          </w:p>
          <w:p w14:paraId="0235F5B8" w14:textId="77777777" w:rsidR="00AB3E17" w:rsidRPr="006B3B59" w:rsidRDefault="00AB3E17" w:rsidP="00343964">
            <w:pPr>
              <w:pStyle w:val="ListParagraph"/>
              <w:numPr>
                <w:ilvl w:val="0"/>
                <w:numId w:val="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Have risks been evaluated against potential impact and likelihood?</w:t>
            </w:r>
          </w:p>
          <w:p w14:paraId="00FB0CE0" w14:textId="72DD17FE" w:rsidR="00AB3E17" w:rsidRPr="006B3B59" w:rsidRDefault="00AB3E17" w:rsidP="00343964">
            <w:pPr>
              <w:pStyle w:val="ListParagraph"/>
              <w:numPr>
                <w:ilvl w:val="0"/>
                <w:numId w:val="8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Do risk priorities reflect the level of importance, urgency, or impact?</w:t>
            </w:r>
          </w:p>
        </w:tc>
      </w:tr>
      <w:tr w:rsidR="00AB3E17" w:rsidRPr="0025514D" w14:paraId="63C95154" w14:textId="77777777" w:rsidTr="00AB3E17">
        <w:tc>
          <w:tcPr>
            <w:tcW w:w="9016" w:type="dxa"/>
            <w:shd w:val="clear" w:color="auto" w:fill="002060"/>
          </w:tcPr>
          <w:p w14:paraId="1A91BB40" w14:textId="0A45C4B8" w:rsidR="00AB3E17" w:rsidRPr="00060408" w:rsidRDefault="00AB3E17" w:rsidP="00343964">
            <w:pPr>
              <w:pStyle w:val="Heading2"/>
              <w:spacing w:before="120" w:after="120"/>
              <w:ind w:left="731" w:hanging="731"/>
              <w:rPr>
                <w:sz w:val="24"/>
                <w:szCs w:val="24"/>
              </w:rPr>
            </w:pPr>
            <w:bookmarkStart w:id="54" w:name="_Toc145257677"/>
            <w:bookmarkStart w:id="55" w:name="_Toc147322627"/>
            <w:bookmarkStart w:id="56" w:name="_Toc147833283"/>
            <w:bookmarkStart w:id="57" w:name="_Toc147833586"/>
            <w:bookmarkStart w:id="58" w:name="_Toc142047493"/>
            <w:bookmarkStart w:id="59" w:name="_Toc142640457"/>
            <w:bookmarkStart w:id="60" w:name="_Toc142644774"/>
            <w:bookmarkStart w:id="61" w:name="_Toc142644877"/>
            <w:bookmarkStart w:id="62" w:name="_Toc144909047"/>
            <w:bookmarkStart w:id="63" w:name="_Toc145251874"/>
            <w:bookmarkEnd w:id="38"/>
            <w:r w:rsidRPr="00060408">
              <w:rPr>
                <w:sz w:val="24"/>
                <w:szCs w:val="24"/>
              </w:rPr>
              <w:lastRenderedPageBreak/>
              <w:t>Risk mitigation</w:t>
            </w:r>
            <w:bookmarkEnd w:id="54"/>
            <w:bookmarkEnd w:id="55"/>
            <w:bookmarkEnd w:id="56"/>
            <w:bookmarkEnd w:id="57"/>
          </w:p>
        </w:tc>
      </w:tr>
      <w:tr w:rsidR="00AB3E17" w:rsidRPr="0025514D" w14:paraId="4B33282C" w14:textId="77777777" w:rsidTr="00AB3E17">
        <w:tc>
          <w:tcPr>
            <w:tcW w:w="9016" w:type="dxa"/>
          </w:tcPr>
          <w:p w14:paraId="7156F007" w14:textId="77777777" w:rsidR="00AB3E17" w:rsidRPr="006B3B59" w:rsidRDefault="00AB3E17" w:rsidP="00343964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Have risk mitigation strategies been identified and agreed?</w:t>
            </w:r>
          </w:p>
          <w:p w14:paraId="44960B0F" w14:textId="5E315B8E" w:rsidR="00AB3E17" w:rsidRPr="006B3B59" w:rsidRDefault="00AB3E17" w:rsidP="00343964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Have risk controls, safeguards and or contingency plans been developed?</w:t>
            </w:r>
          </w:p>
        </w:tc>
      </w:tr>
      <w:tr w:rsidR="00AB3E17" w:rsidRPr="0025514D" w14:paraId="5FE19F10" w14:textId="77777777" w:rsidTr="00AB3E17">
        <w:tc>
          <w:tcPr>
            <w:tcW w:w="9016" w:type="dxa"/>
            <w:shd w:val="clear" w:color="auto" w:fill="002060"/>
          </w:tcPr>
          <w:p w14:paraId="0B308817" w14:textId="507A67CA" w:rsidR="00AB3E17" w:rsidRPr="00060408" w:rsidRDefault="00AB3E17" w:rsidP="00343964">
            <w:pPr>
              <w:pStyle w:val="Heading2"/>
              <w:spacing w:before="120" w:after="120"/>
              <w:ind w:left="731" w:hanging="731"/>
              <w:rPr>
                <w:sz w:val="24"/>
                <w:szCs w:val="24"/>
              </w:rPr>
            </w:pPr>
            <w:bookmarkStart w:id="64" w:name="_Toc142047494"/>
            <w:bookmarkStart w:id="65" w:name="_Toc142640458"/>
            <w:bookmarkStart w:id="66" w:name="_Toc142644775"/>
            <w:bookmarkStart w:id="67" w:name="_Toc142644878"/>
            <w:bookmarkStart w:id="68" w:name="_Toc144909048"/>
            <w:bookmarkStart w:id="69" w:name="_Toc145251875"/>
            <w:bookmarkStart w:id="70" w:name="_Toc145257678"/>
            <w:bookmarkStart w:id="71" w:name="_Toc147322628"/>
            <w:bookmarkStart w:id="72" w:name="_Toc147833284"/>
            <w:bookmarkStart w:id="73" w:name="_Toc147833587"/>
            <w:r w:rsidRPr="00060408">
              <w:rPr>
                <w:sz w:val="24"/>
                <w:szCs w:val="24"/>
              </w:rPr>
              <w:t>Monitoring and review</w:t>
            </w:r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</w:p>
        </w:tc>
      </w:tr>
      <w:tr w:rsidR="00AB3E17" w:rsidRPr="0025514D" w14:paraId="034546E9" w14:textId="77777777" w:rsidTr="00AB3E17">
        <w:tc>
          <w:tcPr>
            <w:tcW w:w="9016" w:type="dxa"/>
          </w:tcPr>
          <w:p w14:paraId="5C7C4A01" w14:textId="77777777" w:rsidR="00AB3E17" w:rsidRPr="006B3B59" w:rsidRDefault="00AB3E17" w:rsidP="00343964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Is there a process in place for the ongoing monitoring and review of scheme risks?</w:t>
            </w:r>
          </w:p>
          <w:p w14:paraId="46714A89" w14:textId="44CB35D6" w:rsidR="00AB3E17" w:rsidRPr="006B3B59" w:rsidRDefault="00AB3E17" w:rsidP="00343964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Has a risk tolerance methodology been agreed and early warning signs in place to detect changes in risk levels?</w:t>
            </w:r>
          </w:p>
        </w:tc>
      </w:tr>
      <w:tr w:rsidR="00AB3E17" w:rsidRPr="0025514D" w14:paraId="3B80A29A" w14:textId="77777777" w:rsidTr="00AB3E17">
        <w:tc>
          <w:tcPr>
            <w:tcW w:w="9016" w:type="dxa"/>
            <w:shd w:val="clear" w:color="auto" w:fill="002060"/>
          </w:tcPr>
          <w:p w14:paraId="3BE42C34" w14:textId="48A312FA" w:rsidR="00AB3E17" w:rsidRPr="00060408" w:rsidRDefault="00AB3E17" w:rsidP="00343964">
            <w:pPr>
              <w:pStyle w:val="Heading2"/>
              <w:spacing w:before="120" w:after="120"/>
              <w:ind w:left="731" w:hanging="731"/>
              <w:rPr>
                <w:sz w:val="24"/>
                <w:szCs w:val="24"/>
              </w:rPr>
            </w:pPr>
            <w:bookmarkStart w:id="74" w:name="_Toc142047495"/>
            <w:bookmarkStart w:id="75" w:name="_Toc142640459"/>
            <w:bookmarkStart w:id="76" w:name="_Toc142644776"/>
            <w:bookmarkStart w:id="77" w:name="_Toc142644879"/>
            <w:bookmarkStart w:id="78" w:name="_Toc144909049"/>
            <w:bookmarkStart w:id="79" w:name="_Toc145251876"/>
            <w:bookmarkStart w:id="80" w:name="_Toc145257679"/>
            <w:bookmarkStart w:id="81" w:name="_Toc147322629"/>
            <w:bookmarkStart w:id="82" w:name="_Toc147833285"/>
            <w:bookmarkStart w:id="83" w:name="_Toc147833588"/>
            <w:r w:rsidRPr="00060408">
              <w:rPr>
                <w:sz w:val="24"/>
                <w:szCs w:val="24"/>
              </w:rPr>
              <w:t>Documentation and reporting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</w:p>
        </w:tc>
      </w:tr>
      <w:tr w:rsidR="00AB3E17" w:rsidRPr="0025514D" w14:paraId="709D704F" w14:textId="77777777" w:rsidTr="00AB3E17">
        <w:tc>
          <w:tcPr>
            <w:tcW w:w="9016" w:type="dxa"/>
          </w:tcPr>
          <w:p w14:paraId="5061FF6B" w14:textId="77777777" w:rsidR="00AB3E17" w:rsidRPr="006B3B59" w:rsidRDefault="00AB3E17" w:rsidP="00343964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Is there a comprehensive risk register in place maintaining risk, levels, mitigations, and actions taken?</w:t>
            </w:r>
          </w:p>
          <w:p w14:paraId="5A907DB1" w14:textId="25594059" w:rsidR="00AB3E17" w:rsidRPr="006B3B59" w:rsidRDefault="00AB3E17" w:rsidP="00343964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Have risk assessments been clearly documented and provided to relevant parties, KFH</w:t>
            </w:r>
            <w:r w:rsidR="001F144B">
              <w:rPr>
                <w:rFonts w:eastAsia="Times New Roman" w:cs="Arial"/>
                <w:lang w:val="en-GB" w:eastAsia="en-GB"/>
              </w:rPr>
              <w:t>s</w:t>
            </w:r>
            <w:r w:rsidRPr="006B3B59">
              <w:rPr>
                <w:rFonts w:eastAsia="Times New Roman" w:cs="Arial"/>
                <w:lang w:val="en-GB" w:eastAsia="en-GB"/>
              </w:rPr>
              <w:t>, trustees, boards and or committees, members, employers, and the Authority where applicable?</w:t>
            </w:r>
          </w:p>
          <w:p w14:paraId="7432D6A0" w14:textId="77777777" w:rsidR="00AB3E17" w:rsidRPr="006B3B59" w:rsidRDefault="00AB3E17" w:rsidP="00343964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Have the results of the ORA been documented with evidence of discussion and approval by the trustees?</w:t>
            </w:r>
          </w:p>
          <w:p w14:paraId="4D0269B0" w14:textId="3BFEE555" w:rsidR="00AB3E17" w:rsidRPr="006B3B59" w:rsidRDefault="00AB3E17" w:rsidP="00343964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spacing w:before="120" w:after="120" w:line="276" w:lineRule="auto"/>
              <w:textAlignment w:val="baseline"/>
              <w:rPr>
                <w:rFonts w:eastAsia="Times New Roman" w:cs="Arial"/>
                <w:lang w:val="en-GB" w:eastAsia="en-GB"/>
              </w:rPr>
            </w:pPr>
            <w:r w:rsidRPr="006B3B59">
              <w:rPr>
                <w:rFonts w:eastAsia="Times New Roman" w:cs="Arial"/>
                <w:lang w:val="en-GB" w:eastAsia="en-GB"/>
              </w:rPr>
              <w:t>Have the decisions and actions taken by the trustees based on the ORA been documented?</w:t>
            </w:r>
          </w:p>
        </w:tc>
      </w:tr>
      <w:bookmarkEnd w:id="0"/>
      <w:bookmarkEnd w:id="58"/>
      <w:bookmarkEnd w:id="59"/>
      <w:bookmarkEnd w:id="60"/>
      <w:bookmarkEnd w:id="61"/>
      <w:bookmarkEnd w:id="62"/>
      <w:bookmarkEnd w:id="63"/>
    </w:tbl>
    <w:p w14:paraId="581127F2" w14:textId="56BC308F" w:rsidR="00786A4F" w:rsidRPr="0025514D" w:rsidRDefault="00786A4F" w:rsidP="0025514D">
      <w:pPr>
        <w:spacing w:after="200" w:line="276" w:lineRule="auto"/>
        <w:rPr>
          <w:rFonts w:eastAsia="Times New Roman" w:cs="Arial"/>
          <w:lang w:val="en-GB" w:eastAsia="en-GB"/>
        </w:rPr>
      </w:pPr>
    </w:p>
    <w:sectPr w:rsidR="00786A4F" w:rsidRPr="0025514D" w:rsidSect="00E63ABE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8B06" w14:textId="77777777" w:rsidR="002C288B" w:rsidRDefault="002C288B" w:rsidP="00EA1A68">
      <w:r>
        <w:separator/>
      </w:r>
    </w:p>
  </w:endnote>
  <w:endnote w:type="continuationSeparator" w:id="0">
    <w:p w14:paraId="1C7B64DC" w14:textId="77777777" w:rsidR="002C288B" w:rsidRDefault="002C288B" w:rsidP="00E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4800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34A53A" w14:textId="4C41AE31" w:rsidR="009B32C9" w:rsidRDefault="008078D8" w:rsidP="00AF277C">
            <w:pPr>
              <w:pStyle w:val="Footer"/>
              <w:jc w:val="center"/>
            </w:pPr>
            <w:r w:rsidRPr="00F2161F">
              <w:rPr>
                <w:sz w:val="20"/>
                <w:szCs w:val="20"/>
                <w:lang w:val="en-GB"/>
              </w:rPr>
              <w:t xml:space="preserve">Page </w:t>
            </w:r>
            <w:r w:rsidRPr="00F2161F">
              <w:rPr>
                <w:b/>
                <w:bCs/>
                <w:sz w:val="20"/>
                <w:szCs w:val="20"/>
              </w:rPr>
              <w:fldChar w:fldCharType="begin"/>
            </w:r>
            <w:r w:rsidRPr="00F2161F">
              <w:rPr>
                <w:b/>
                <w:bCs/>
                <w:sz w:val="20"/>
                <w:szCs w:val="20"/>
              </w:rPr>
              <w:instrText>PAGE</w:instrText>
            </w:r>
            <w:r w:rsidRPr="00F2161F">
              <w:rPr>
                <w:b/>
                <w:bCs/>
                <w:sz w:val="20"/>
                <w:szCs w:val="20"/>
              </w:rPr>
              <w:fldChar w:fldCharType="separate"/>
            </w:r>
            <w:r w:rsidRPr="00F2161F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F2161F">
              <w:rPr>
                <w:b/>
                <w:bCs/>
                <w:sz w:val="20"/>
                <w:szCs w:val="20"/>
              </w:rPr>
              <w:fldChar w:fldCharType="end"/>
            </w:r>
            <w:r w:rsidRPr="00F2161F">
              <w:rPr>
                <w:sz w:val="20"/>
                <w:szCs w:val="20"/>
                <w:lang w:val="en-GB"/>
              </w:rPr>
              <w:t xml:space="preserve"> of </w:t>
            </w:r>
            <w:r w:rsidRPr="00F2161F">
              <w:rPr>
                <w:b/>
                <w:bCs/>
                <w:sz w:val="20"/>
                <w:szCs w:val="20"/>
              </w:rPr>
              <w:fldChar w:fldCharType="begin"/>
            </w:r>
            <w:r w:rsidRPr="00F2161F">
              <w:rPr>
                <w:b/>
                <w:bCs/>
                <w:sz w:val="20"/>
                <w:szCs w:val="20"/>
              </w:rPr>
              <w:instrText>NUMPAGES</w:instrText>
            </w:r>
            <w:r w:rsidRPr="00F2161F">
              <w:rPr>
                <w:b/>
                <w:bCs/>
                <w:sz w:val="20"/>
                <w:szCs w:val="20"/>
              </w:rPr>
              <w:fldChar w:fldCharType="separate"/>
            </w:r>
            <w:r w:rsidRPr="00F2161F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F2161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7764" w14:textId="54E72546" w:rsidR="00E63ABE" w:rsidRPr="00FA43A9" w:rsidRDefault="00E63ABE" w:rsidP="00E63ABE">
    <w:pPr>
      <w:pStyle w:val="Footer"/>
      <w:jc w:val="right"/>
      <w:rPr>
        <w:sz w:val="20"/>
        <w:szCs w:val="20"/>
      </w:rPr>
    </w:pPr>
    <w:r w:rsidRPr="00FA43A9">
      <w:rPr>
        <w:sz w:val="20"/>
        <w:szCs w:val="20"/>
      </w:rPr>
      <w:t>Date published:</w:t>
    </w:r>
    <w:r w:rsidR="00F2161F" w:rsidRPr="00FA43A9">
      <w:rPr>
        <w:sz w:val="20"/>
        <w:szCs w:val="20"/>
      </w:rPr>
      <w:t xml:space="preserve"> October</w:t>
    </w:r>
    <w:r w:rsidRPr="00FA43A9">
      <w:rPr>
        <w:sz w:val="20"/>
        <w:szCs w:val="20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760254"/>
      <w:docPartObj>
        <w:docPartGallery w:val="Page Numbers (Bottom of Page)"/>
        <w:docPartUnique/>
      </w:docPartObj>
    </w:sdtPr>
    <w:sdtEndPr/>
    <w:sdtContent>
      <w:sdt>
        <w:sdtPr>
          <w:id w:val="1386913138"/>
          <w:docPartObj>
            <w:docPartGallery w:val="Page Numbers (Top of Page)"/>
            <w:docPartUnique/>
          </w:docPartObj>
        </w:sdtPr>
        <w:sdtEndPr/>
        <w:sdtContent>
          <w:p w14:paraId="22FC15E3" w14:textId="26FC0EFD" w:rsidR="00E66941" w:rsidRPr="00E66941" w:rsidRDefault="00340602" w:rsidP="00340602">
            <w:pPr>
              <w:pStyle w:val="Footer"/>
              <w:jc w:val="center"/>
            </w:pPr>
            <w:r w:rsidRPr="00340602">
              <w:rPr>
                <w:sz w:val="20"/>
                <w:szCs w:val="20"/>
                <w:lang w:val="en-GB"/>
              </w:rPr>
              <w:t xml:space="preserve">Page </w:t>
            </w:r>
            <w:r w:rsidRPr="00340602">
              <w:rPr>
                <w:b/>
                <w:bCs/>
                <w:sz w:val="20"/>
                <w:szCs w:val="20"/>
              </w:rPr>
              <w:fldChar w:fldCharType="begin"/>
            </w:r>
            <w:r w:rsidRPr="00340602">
              <w:rPr>
                <w:b/>
                <w:bCs/>
                <w:sz w:val="20"/>
                <w:szCs w:val="20"/>
              </w:rPr>
              <w:instrText>PAGE</w:instrText>
            </w:r>
            <w:r w:rsidRPr="00340602">
              <w:rPr>
                <w:b/>
                <w:bCs/>
                <w:sz w:val="20"/>
                <w:szCs w:val="20"/>
              </w:rPr>
              <w:fldChar w:fldCharType="separate"/>
            </w:r>
            <w:r w:rsidRPr="00340602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340602">
              <w:rPr>
                <w:b/>
                <w:bCs/>
                <w:sz w:val="20"/>
                <w:szCs w:val="20"/>
              </w:rPr>
              <w:fldChar w:fldCharType="end"/>
            </w:r>
            <w:r w:rsidRPr="00340602">
              <w:rPr>
                <w:sz w:val="20"/>
                <w:szCs w:val="20"/>
                <w:lang w:val="en-GB"/>
              </w:rPr>
              <w:t xml:space="preserve"> of </w:t>
            </w:r>
            <w:r w:rsidRPr="00340602">
              <w:rPr>
                <w:b/>
                <w:bCs/>
                <w:sz w:val="20"/>
                <w:szCs w:val="20"/>
              </w:rPr>
              <w:fldChar w:fldCharType="begin"/>
            </w:r>
            <w:r w:rsidRPr="00340602">
              <w:rPr>
                <w:b/>
                <w:bCs/>
                <w:sz w:val="20"/>
                <w:szCs w:val="20"/>
              </w:rPr>
              <w:instrText>NUMPAGES</w:instrText>
            </w:r>
            <w:r w:rsidRPr="00340602">
              <w:rPr>
                <w:b/>
                <w:bCs/>
                <w:sz w:val="20"/>
                <w:szCs w:val="20"/>
              </w:rPr>
              <w:fldChar w:fldCharType="separate"/>
            </w:r>
            <w:r w:rsidRPr="00340602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34060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156B" w14:textId="77777777" w:rsidR="002C288B" w:rsidRDefault="002C288B" w:rsidP="00EA1A68">
      <w:r>
        <w:separator/>
      </w:r>
    </w:p>
  </w:footnote>
  <w:footnote w:type="continuationSeparator" w:id="0">
    <w:p w14:paraId="0EFE23D1" w14:textId="77777777" w:rsidR="002C288B" w:rsidRDefault="002C288B" w:rsidP="00EA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E2E7" w14:textId="121DFFBF" w:rsidR="00F36BAE" w:rsidRDefault="00F36BAE" w:rsidP="00F36BAE">
    <w:pPr>
      <w:pStyle w:val="Header"/>
      <w:jc w:val="center"/>
    </w:pPr>
    <w:r>
      <w:rPr>
        <w:noProof/>
        <w:lang w:eastAsia="en-IE"/>
      </w:rPr>
      <w:drawing>
        <wp:inline distT="0" distB="0" distL="0" distR="0" wp14:anchorId="0166166F" wp14:editId="475258BB">
          <wp:extent cx="1616400" cy="540000"/>
          <wp:effectExtent l="0" t="0" r="3175" b="0"/>
          <wp:docPr id="667165338" name="Picture 667165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PA-Logo2013-CMYK-CS4-4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8FA96" w14:textId="77777777" w:rsidR="00C47DFF" w:rsidRDefault="00C47DFF" w:rsidP="00F36BA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205B" w14:textId="0EB9013A" w:rsidR="008D48B3" w:rsidRDefault="008D48B3" w:rsidP="007D6CFF">
    <w:pPr>
      <w:pStyle w:val="Header"/>
      <w:jc w:val="center"/>
    </w:pPr>
    <w:r>
      <w:rPr>
        <w:noProof/>
        <w:lang w:eastAsia="en-IE"/>
      </w:rPr>
      <w:drawing>
        <wp:inline distT="0" distB="0" distL="0" distR="0" wp14:anchorId="6A70C597" wp14:editId="0359228D">
          <wp:extent cx="1616400" cy="540000"/>
          <wp:effectExtent l="0" t="0" r="3175" b="0"/>
          <wp:docPr id="1249222599" name="Picture 1249222599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04ABAB" w14:textId="77777777" w:rsidR="00DB26D7" w:rsidRDefault="00DB26D7" w:rsidP="007D6CF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139"/>
    <w:multiLevelType w:val="hybridMultilevel"/>
    <w:tmpl w:val="8402ADC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65F68"/>
    <w:multiLevelType w:val="hybridMultilevel"/>
    <w:tmpl w:val="2542C36A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F15C2"/>
    <w:multiLevelType w:val="hybridMultilevel"/>
    <w:tmpl w:val="53BA8D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BDA"/>
    <w:multiLevelType w:val="hybridMultilevel"/>
    <w:tmpl w:val="1A4C54C8"/>
    <w:lvl w:ilvl="0" w:tplc="C952E420">
      <w:start w:val="1"/>
      <w:numFmt w:val="decimal"/>
      <w:pStyle w:val="Style2"/>
      <w:lvlText w:val="Appendix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30F0"/>
    <w:multiLevelType w:val="hybridMultilevel"/>
    <w:tmpl w:val="A144600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0269B"/>
    <w:multiLevelType w:val="hybridMultilevel"/>
    <w:tmpl w:val="E40C31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229A4"/>
    <w:multiLevelType w:val="hybridMultilevel"/>
    <w:tmpl w:val="796C87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A11B9"/>
    <w:multiLevelType w:val="hybridMultilevel"/>
    <w:tmpl w:val="A0543D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52E2C"/>
    <w:multiLevelType w:val="hybridMultilevel"/>
    <w:tmpl w:val="2268455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B072F8"/>
    <w:multiLevelType w:val="hybridMultilevel"/>
    <w:tmpl w:val="5CFEED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B6066"/>
    <w:multiLevelType w:val="hybridMultilevel"/>
    <w:tmpl w:val="DC704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86351"/>
    <w:multiLevelType w:val="hybridMultilevel"/>
    <w:tmpl w:val="E99CAF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25B15"/>
    <w:multiLevelType w:val="hybridMultilevel"/>
    <w:tmpl w:val="01461C2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90F0A"/>
    <w:multiLevelType w:val="hybridMultilevel"/>
    <w:tmpl w:val="5C78E5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EE03DA"/>
    <w:multiLevelType w:val="multilevel"/>
    <w:tmpl w:val="C8CA6D9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9B228E"/>
    <w:multiLevelType w:val="hybridMultilevel"/>
    <w:tmpl w:val="1ED402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A443E"/>
    <w:multiLevelType w:val="hybridMultilevel"/>
    <w:tmpl w:val="6988F5DE"/>
    <w:lvl w:ilvl="0" w:tplc="244E1EAA">
      <w:start w:val="1"/>
      <w:numFmt w:val="decimal"/>
      <w:pStyle w:val="Heading4"/>
      <w:lvlText w:val="%1.1"/>
      <w:lvlJc w:val="left"/>
      <w:pPr>
        <w:ind w:left="92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8" w:hanging="360"/>
      </w:pPr>
    </w:lvl>
    <w:lvl w:ilvl="2" w:tplc="1809001B" w:tentative="1">
      <w:start w:val="1"/>
      <w:numFmt w:val="lowerRoman"/>
      <w:lvlText w:val="%3."/>
      <w:lvlJc w:val="right"/>
      <w:pPr>
        <w:ind w:left="2368" w:hanging="180"/>
      </w:pPr>
    </w:lvl>
    <w:lvl w:ilvl="3" w:tplc="1809000F" w:tentative="1">
      <w:start w:val="1"/>
      <w:numFmt w:val="decimal"/>
      <w:lvlText w:val="%4."/>
      <w:lvlJc w:val="left"/>
      <w:pPr>
        <w:ind w:left="3088" w:hanging="360"/>
      </w:pPr>
    </w:lvl>
    <w:lvl w:ilvl="4" w:tplc="18090019" w:tentative="1">
      <w:start w:val="1"/>
      <w:numFmt w:val="lowerLetter"/>
      <w:lvlText w:val="%5."/>
      <w:lvlJc w:val="left"/>
      <w:pPr>
        <w:ind w:left="3808" w:hanging="360"/>
      </w:pPr>
    </w:lvl>
    <w:lvl w:ilvl="5" w:tplc="1809001B" w:tentative="1">
      <w:start w:val="1"/>
      <w:numFmt w:val="lowerRoman"/>
      <w:lvlText w:val="%6."/>
      <w:lvlJc w:val="right"/>
      <w:pPr>
        <w:ind w:left="4528" w:hanging="180"/>
      </w:pPr>
    </w:lvl>
    <w:lvl w:ilvl="6" w:tplc="1809000F" w:tentative="1">
      <w:start w:val="1"/>
      <w:numFmt w:val="decimal"/>
      <w:lvlText w:val="%7."/>
      <w:lvlJc w:val="left"/>
      <w:pPr>
        <w:ind w:left="5248" w:hanging="360"/>
      </w:pPr>
    </w:lvl>
    <w:lvl w:ilvl="7" w:tplc="18090019" w:tentative="1">
      <w:start w:val="1"/>
      <w:numFmt w:val="lowerLetter"/>
      <w:lvlText w:val="%8."/>
      <w:lvlJc w:val="left"/>
      <w:pPr>
        <w:ind w:left="5968" w:hanging="360"/>
      </w:pPr>
    </w:lvl>
    <w:lvl w:ilvl="8" w:tplc="1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EB701C3"/>
    <w:multiLevelType w:val="hybridMultilevel"/>
    <w:tmpl w:val="73EEE89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1E15EC"/>
    <w:multiLevelType w:val="hybridMultilevel"/>
    <w:tmpl w:val="5090FA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204213"/>
    <w:multiLevelType w:val="hybridMultilevel"/>
    <w:tmpl w:val="04F6B214"/>
    <w:lvl w:ilvl="0" w:tplc="430233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D02EA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A56D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F4CF8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7D253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1EAA6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65E8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7B687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ED8AD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5A9676F9"/>
    <w:multiLevelType w:val="hybridMultilevel"/>
    <w:tmpl w:val="0A6648D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E719BF"/>
    <w:multiLevelType w:val="hybridMultilevel"/>
    <w:tmpl w:val="F7840B84"/>
    <w:lvl w:ilvl="0" w:tplc="7BB65AC6">
      <w:start w:val="1"/>
      <w:numFmt w:val="decimal"/>
      <w:pStyle w:val="Style3"/>
      <w:lvlText w:val="Appendix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63E86"/>
    <w:multiLevelType w:val="hybridMultilevel"/>
    <w:tmpl w:val="D02493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46960"/>
    <w:multiLevelType w:val="hybridMultilevel"/>
    <w:tmpl w:val="BF709F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61E39"/>
    <w:multiLevelType w:val="hybridMultilevel"/>
    <w:tmpl w:val="463CBF74"/>
    <w:lvl w:ilvl="0" w:tplc="E054AC20">
      <w:start w:val="1"/>
      <w:numFmt w:val="decimal"/>
      <w:pStyle w:val="Style1"/>
      <w:lvlText w:val="Appendix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06EDC"/>
    <w:multiLevelType w:val="hybridMultilevel"/>
    <w:tmpl w:val="9A9A98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D1947"/>
    <w:multiLevelType w:val="hybridMultilevel"/>
    <w:tmpl w:val="2D7C45F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287186"/>
    <w:multiLevelType w:val="hybridMultilevel"/>
    <w:tmpl w:val="C6CC086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A22A08"/>
    <w:multiLevelType w:val="hybridMultilevel"/>
    <w:tmpl w:val="2B9A25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749E5"/>
    <w:multiLevelType w:val="hybridMultilevel"/>
    <w:tmpl w:val="3E5CB24E"/>
    <w:lvl w:ilvl="0" w:tplc="FBDE3C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AE2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AC1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6EB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38A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BB04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BEA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4B05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DEF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78A82576"/>
    <w:multiLevelType w:val="multilevel"/>
    <w:tmpl w:val="D53E4FA8"/>
    <w:lvl w:ilvl="0">
      <w:start w:val="1"/>
      <w:numFmt w:val="decimal"/>
      <w:pStyle w:val="Heading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E037E3"/>
    <w:multiLevelType w:val="hybridMultilevel"/>
    <w:tmpl w:val="909893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B7995"/>
    <w:multiLevelType w:val="hybridMultilevel"/>
    <w:tmpl w:val="28FEFA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976547">
    <w:abstractNumId w:val="24"/>
  </w:num>
  <w:num w:numId="2" w16cid:durableId="961231464">
    <w:abstractNumId w:val="3"/>
  </w:num>
  <w:num w:numId="3" w16cid:durableId="1580283251">
    <w:abstractNumId w:val="21"/>
  </w:num>
  <w:num w:numId="4" w16cid:durableId="727001358">
    <w:abstractNumId w:val="11"/>
  </w:num>
  <w:num w:numId="5" w16cid:durableId="1933663998">
    <w:abstractNumId w:val="9"/>
  </w:num>
  <w:num w:numId="6" w16cid:durableId="113595780">
    <w:abstractNumId w:val="28"/>
  </w:num>
  <w:num w:numId="7" w16cid:durableId="570503534">
    <w:abstractNumId w:val="2"/>
  </w:num>
  <w:num w:numId="8" w16cid:durableId="1922637359">
    <w:abstractNumId w:val="5"/>
  </w:num>
  <w:num w:numId="9" w16cid:durableId="221602745">
    <w:abstractNumId w:val="7"/>
  </w:num>
  <w:num w:numId="10" w16cid:durableId="834763657">
    <w:abstractNumId w:val="31"/>
  </w:num>
  <w:num w:numId="11" w16cid:durableId="1593078458">
    <w:abstractNumId w:val="15"/>
  </w:num>
  <w:num w:numId="12" w16cid:durableId="2111584181">
    <w:abstractNumId w:val="4"/>
  </w:num>
  <w:num w:numId="13" w16cid:durableId="1787501983">
    <w:abstractNumId w:val="6"/>
  </w:num>
  <w:num w:numId="14" w16cid:durableId="1095175701">
    <w:abstractNumId w:val="26"/>
  </w:num>
  <w:num w:numId="15" w16cid:durableId="1032926869">
    <w:abstractNumId w:val="18"/>
  </w:num>
  <w:num w:numId="16" w16cid:durableId="390345194">
    <w:abstractNumId w:val="22"/>
  </w:num>
  <w:num w:numId="17" w16cid:durableId="1622951884">
    <w:abstractNumId w:val="10"/>
  </w:num>
  <w:num w:numId="18" w16cid:durableId="1275938025">
    <w:abstractNumId w:val="1"/>
  </w:num>
  <w:num w:numId="19" w16cid:durableId="389883995">
    <w:abstractNumId w:val="12"/>
  </w:num>
  <w:num w:numId="20" w16cid:durableId="1621574447">
    <w:abstractNumId w:val="0"/>
  </w:num>
  <w:num w:numId="21" w16cid:durableId="44914748">
    <w:abstractNumId w:val="20"/>
  </w:num>
  <w:num w:numId="22" w16cid:durableId="1364864153">
    <w:abstractNumId w:val="25"/>
  </w:num>
  <w:num w:numId="23" w16cid:durableId="2115048713">
    <w:abstractNumId w:val="13"/>
  </w:num>
  <w:num w:numId="24" w16cid:durableId="1802534766">
    <w:abstractNumId w:val="27"/>
  </w:num>
  <w:num w:numId="25" w16cid:durableId="1908834247">
    <w:abstractNumId w:val="17"/>
  </w:num>
  <w:num w:numId="26" w16cid:durableId="1488550385">
    <w:abstractNumId w:val="23"/>
  </w:num>
  <w:num w:numId="27" w16cid:durableId="576331053">
    <w:abstractNumId w:val="8"/>
  </w:num>
  <w:num w:numId="28" w16cid:durableId="899822667">
    <w:abstractNumId w:val="32"/>
  </w:num>
  <w:num w:numId="29" w16cid:durableId="1155953085">
    <w:abstractNumId w:val="19"/>
  </w:num>
  <w:num w:numId="30" w16cid:durableId="1479489878">
    <w:abstractNumId w:val="29"/>
  </w:num>
  <w:num w:numId="31" w16cid:durableId="1381242499">
    <w:abstractNumId w:val="14"/>
  </w:num>
  <w:num w:numId="32" w16cid:durableId="681668598">
    <w:abstractNumId w:val="30"/>
  </w:num>
  <w:num w:numId="33" w16cid:durableId="1655917026">
    <w:abstractNumId w:val="30"/>
  </w:num>
  <w:num w:numId="34" w16cid:durableId="908809346">
    <w:abstractNumId w:val="30"/>
  </w:num>
  <w:num w:numId="35" w16cid:durableId="931165894">
    <w:abstractNumId w:val="30"/>
  </w:num>
  <w:num w:numId="36" w16cid:durableId="1221476256">
    <w:abstractNumId w:val="30"/>
  </w:num>
  <w:num w:numId="37" w16cid:durableId="1504010663">
    <w:abstractNumId w:val="30"/>
  </w:num>
  <w:num w:numId="38" w16cid:durableId="770202779">
    <w:abstractNumId w:val="30"/>
  </w:num>
  <w:num w:numId="39" w16cid:durableId="1610699816">
    <w:abstractNumId w:val="30"/>
  </w:num>
  <w:num w:numId="40" w16cid:durableId="576784810">
    <w:abstractNumId w:val="30"/>
  </w:num>
  <w:num w:numId="41" w16cid:durableId="4403834">
    <w:abstractNumId w:val="30"/>
  </w:num>
  <w:num w:numId="42" w16cid:durableId="727386285">
    <w:abstractNumId w:val="30"/>
  </w:num>
  <w:num w:numId="43" w16cid:durableId="1592735238">
    <w:abstractNumId w:val="16"/>
  </w:num>
  <w:num w:numId="44" w16cid:durableId="2125689089">
    <w:abstractNumId w:val="16"/>
  </w:num>
  <w:num w:numId="45" w16cid:durableId="11076697">
    <w:abstractNumId w:val="16"/>
  </w:num>
  <w:num w:numId="46" w16cid:durableId="11418339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5E"/>
    <w:rsid w:val="0000031B"/>
    <w:rsid w:val="00000445"/>
    <w:rsid w:val="00000808"/>
    <w:rsid w:val="00001187"/>
    <w:rsid w:val="00002B1C"/>
    <w:rsid w:val="000038DA"/>
    <w:rsid w:val="00004BE4"/>
    <w:rsid w:val="00004D8B"/>
    <w:rsid w:val="0000528B"/>
    <w:rsid w:val="00005600"/>
    <w:rsid w:val="00007B61"/>
    <w:rsid w:val="00010EE6"/>
    <w:rsid w:val="00012EE6"/>
    <w:rsid w:val="0001314B"/>
    <w:rsid w:val="00014BB9"/>
    <w:rsid w:val="00014FB2"/>
    <w:rsid w:val="000150B9"/>
    <w:rsid w:val="00017579"/>
    <w:rsid w:val="00020618"/>
    <w:rsid w:val="0002071D"/>
    <w:rsid w:val="00020DF2"/>
    <w:rsid w:val="000218B7"/>
    <w:rsid w:val="00021A3A"/>
    <w:rsid w:val="000224BC"/>
    <w:rsid w:val="00025133"/>
    <w:rsid w:val="000253B7"/>
    <w:rsid w:val="00025492"/>
    <w:rsid w:val="00030755"/>
    <w:rsid w:val="00030C6B"/>
    <w:rsid w:val="0003200F"/>
    <w:rsid w:val="00032D94"/>
    <w:rsid w:val="00037232"/>
    <w:rsid w:val="00037EAE"/>
    <w:rsid w:val="00040642"/>
    <w:rsid w:val="00040886"/>
    <w:rsid w:val="00041AED"/>
    <w:rsid w:val="00042B2A"/>
    <w:rsid w:val="00042B99"/>
    <w:rsid w:val="0004564D"/>
    <w:rsid w:val="00046470"/>
    <w:rsid w:val="00046596"/>
    <w:rsid w:val="000508AF"/>
    <w:rsid w:val="00053B4B"/>
    <w:rsid w:val="00054036"/>
    <w:rsid w:val="000566C6"/>
    <w:rsid w:val="00056BFB"/>
    <w:rsid w:val="00060408"/>
    <w:rsid w:val="000618DC"/>
    <w:rsid w:val="00062EAA"/>
    <w:rsid w:val="000642A4"/>
    <w:rsid w:val="00064393"/>
    <w:rsid w:val="000648FB"/>
    <w:rsid w:val="00066B57"/>
    <w:rsid w:val="000713D9"/>
    <w:rsid w:val="00071FDB"/>
    <w:rsid w:val="000726EE"/>
    <w:rsid w:val="00072F60"/>
    <w:rsid w:val="000733F2"/>
    <w:rsid w:val="00077586"/>
    <w:rsid w:val="00077B10"/>
    <w:rsid w:val="00077B1A"/>
    <w:rsid w:val="00081732"/>
    <w:rsid w:val="000829EF"/>
    <w:rsid w:val="0008400F"/>
    <w:rsid w:val="0008414E"/>
    <w:rsid w:val="00085D1B"/>
    <w:rsid w:val="00090D5B"/>
    <w:rsid w:val="00090FBB"/>
    <w:rsid w:val="000929FF"/>
    <w:rsid w:val="000938D9"/>
    <w:rsid w:val="00093DF7"/>
    <w:rsid w:val="00093E2F"/>
    <w:rsid w:val="00094BA3"/>
    <w:rsid w:val="00094F1C"/>
    <w:rsid w:val="00097544"/>
    <w:rsid w:val="000A036C"/>
    <w:rsid w:val="000A1F5B"/>
    <w:rsid w:val="000A2349"/>
    <w:rsid w:val="000A4857"/>
    <w:rsid w:val="000A5088"/>
    <w:rsid w:val="000A5188"/>
    <w:rsid w:val="000A7EC8"/>
    <w:rsid w:val="000A7F70"/>
    <w:rsid w:val="000B13A8"/>
    <w:rsid w:val="000B184F"/>
    <w:rsid w:val="000B27BE"/>
    <w:rsid w:val="000B2F60"/>
    <w:rsid w:val="000B2FB7"/>
    <w:rsid w:val="000B4388"/>
    <w:rsid w:val="000B4B93"/>
    <w:rsid w:val="000B6730"/>
    <w:rsid w:val="000B6B57"/>
    <w:rsid w:val="000C26AF"/>
    <w:rsid w:val="000C2FA2"/>
    <w:rsid w:val="000C4516"/>
    <w:rsid w:val="000C4F01"/>
    <w:rsid w:val="000C5BD1"/>
    <w:rsid w:val="000C5CA3"/>
    <w:rsid w:val="000C74C5"/>
    <w:rsid w:val="000C7AE2"/>
    <w:rsid w:val="000D15D5"/>
    <w:rsid w:val="000D2ADF"/>
    <w:rsid w:val="000D300E"/>
    <w:rsid w:val="000D3C4E"/>
    <w:rsid w:val="000D4298"/>
    <w:rsid w:val="000D672B"/>
    <w:rsid w:val="000D7B95"/>
    <w:rsid w:val="000E000F"/>
    <w:rsid w:val="000E0E00"/>
    <w:rsid w:val="000E11A0"/>
    <w:rsid w:val="000E12FD"/>
    <w:rsid w:val="000E2132"/>
    <w:rsid w:val="000E4AE0"/>
    <w:rsid w:val="000F2BAA"/>
    <w:rsid w:val="000F3AD7"/>
    <w:rsid w:val="000F3F5E"/>
    <w:rsid w:val="000F461A"/>
    <w:rsid w:val="000F50D3"/>
    <w:rsid w:val="000F6CDB"/>
    <w:rsid w:val="000F6D09"/>
    <w:rsid w:val="001012B0"/>
    <w:rsid w:val="001025B6"/>
    <w:rsid w:val="0010556D"/>
    <w:rsid w:val="00105CDB"/>
    <w:rsid w:val="00106F18"/>
    <w:rsid w:val="00112A51"/>
    <w:rsid w:val="00114AEB"/>
    <w:rsid w:val="001151FD"/>
    <w:rsid w:val="00115B9C"/>
    <w:rsid w:val="00115E44"/>
    <w:rsid w:val="00117803"/>
    <w:rsid w:val="0012007A"/>
    <w:rsid w:val="0012030D"/>
    <w:rsid w:val="001217CC"/>
    <w:rsid w:val="00124FAF"/>
    <w:rsid w:val="00126287"/>
    <w:rsid w:val="00126CBD"/>
    <w:rsid w:val="001274AD"/>
    <w:rsid w:val="00130A6F"/>
    <w:rsid w:val="00134359"/>
    <w:rsid w:val="00135EBA"/>
    <w:rsid w:val="00136D5F"/>
    <w:rsid w:val="00137C77"/>
    <w:rsid w:val="00140FDF"/>
    <w:rsid w:val="001414CF"/>
    <w:rsid w:val="001455B2"/>
    <w:rsid w:val="00145619"/>
    <w:rsid w:val="00145C3C"/>
    <w:rsid w:val="00147534"/>
    <w:rsid w:val="001503C3"/>
    <w:rsid w:val="00151309"/>
    <w:rsid w:val="00152AAF"/>
    <w:rsid w:val="001535D5"/>
    <w:rsid w:val="00154A11"/>
    <w:rsid w:val="0015656C"/>
    <w:rsid w:val="00160CCD"/>
    <w:rsid w:val="00161732"/>
    <w:rsid w:val="00162BD0"/>
    <w:rsid w:val="001641B3"/>
    <w:rsid w:val="001679C3"/>
    <w:rsid w:val="0017048E"/>
    <w:rsid w:val="00170DC8"/>
    <w:rsid w:val="00172873"/>
    <w:rsid w:val="00173C4F"/>
    <w:rsid w:val="00174CB5"/>
    <w:rsid w:val="00174F36"/>
    <w:rsid w:val="00176A82"/>
    <w:rsid w:val="001779A5"/>
    <w:rsid w:val="00177EF8"/>
    <w:rsid w:val="0018076E"/>
    <w:rsid w:val="00180A05"/>
    <w:rsid w:val="00181579"/>
    <w:rsid w:val="0018361C"/>
    <w:rsid w:val="00184A79"/>
    <w:rsid w:val="00185C0B"/>
    <w:rsid w:val="00190808"/>
    <w:rsid w:val="00191416"/>
    <w:rsid w:val="00191A91"/>
    <w:rsid w:val="00192A5B"/>
    <w:rsid w:val="00193079"/>
    <w:rsid w:val="00194CE4"/>
    <w:rsid w:val="001951A3"/>
    <w:rsid w:val="00195532"/>
    <w:rsid w:val="00195E72"/>
    <w:rsid w:val="0019651F"/>
    <w:rsid w:val="00196FD0"/>
    <w:rsid w:val="001A1C97"/>
    <w:rsid w:val="001A484E"/>
    <w:rsid w:val="001A603E"/>
    <w:rsid w:val="001A70FF"/>
    <w:rsid w:val="001B02A7"/>
    <w:rsid w:val="001B04F2"/>
    <w:rsid w:val="001B1B0E"/>
    <w:rsid w:val="001B2150"/>
    <w:rsid w:val="001B3090"/>
    <w:rsid w:val="001B3F8F"/>
    <w:rsid w:val="001B4FED"/>
    <w:rsid w:val="001B60A8"/>
    <w:rsid w:val="001B611D"/>
    <w:rsid w:val="001B6425"/>
    <w:rsid w:val="001C030C"/>
    <w:rsid w:val="001C2BD1"/>
    <w:rsid w:val="001C4C54"/>
    <w:rsid w:val="001C5A0E"/>
    <w:rsid w:val="001C5B6A"/>
    <w:rsid w:val="001C602C"/>
    <w:rsid w:val="001C62D7"/>
    <w:rsid w:val="001C68A7"/>
    <w:rsid w:val="001C7E2A"/>
    <w:rsid w:val="001D173C"/>
    <w:rsid w:val="001D27F4"/>
    <w:rsid w:val="001D2EB4"/>
    <w:rsid w:val="001D3572"/>
    <w:rsid w:val="001D373D"/>
    <w:rsid w:val="001D405E"/>
    <w:rsid w:val="001D485C"/>
    <w:rsid w:val="001D4C79"/>
    <w:rsid w:val="001D5042"/>
    <w:rsid w:val="001E1293"/>
    <w:rsid w:val="001E2AE1"/>
    <w:rsid w:val="001E3131"/>
    <w:rsid w:val="001E418C"/>
    <w:rsid w:val="001E52C3"/>
    <w:rsid w:val="001E7D21"/>
    <w:rsid w:val="001F144B"/>
    <w:rsid w:val="001F1814"/>
    <w:rsid w:val="001F5E26"/>
    <w:rsid w:val="001F6686"/>
    <w:rsid w:val="001F6CB4"/>
    <w:rsid w:val="001F6ED7"/>
    <w:rsid w:val="00202688"/>
    <w:rsid w:val="00202989"/>
    <w:rsid w:val="002057EA"/>
    <w:rsid w:val="00205EF8"/>
    <w:rsid w:val="00206EBA"/>
    <w:rsid w:val="002071E7"/>
    <w:rsid w:val="002075C1"/>
    <w:rsid w:val="0021002C"/>
    <w:rsid w:val="00211A0C"/>
    <w:rsid w:val="0021348A"/>
    <w:rsid w:val="002135A7"/>
    <w:rsid w:val="00214FE7"/>
    <w:rsid w:val="00215491"/>
    <w:rsid w:val="00215EE0"/>
    <w:rsid w:val="00216011"/>
    <w:rsid w:val="00216CA3"/>
    <w:rsid w:val="0021734E"/>
    <w:rsid w:val="00221048"/>
    <w:rsid w:val="00221927"/>
    <w:rsid w:val="00221CA0"/>
    <w:rsid w:val="00222609"/>
    <w:rsid w:val="00222DEF"/>
    <w:rsid w:val="0022624E"/>
    <w:rsid w:val="002277D0"/>
    <w:rsid w:val="00227969"/>
    <w:rsid w:val="00227AB2"/>
    <w:rsid w:val="00231594"/>
    <w:rsid w:val="002318DB"/>
    <w:rsid w:val="00231B15"/>
    <w:rsid w:val="00232002"/>
    <w:rsid w:val="00232054"/>
    <w:rsid w:val="00234DAB"/>
    <w:rsid w:val="00235E79"/>
    <w:rsid w:val="00236102"/>
    <w:rsid w:val="00237E97"/>
    <w:rsid w:val="00237FF8"/>
    <w:rsid w:val="00240EE3"/>
    <w:rsid w:val="00240F28"/>
    <w:rsid w:val="00242962"/>
    <w:rsid w:val="00243A87"/>
    <w:rsid w:val="00244C54"/>
    <w:rsid w:val="00246016"/>
    <w:rsid w:val="0024666B"/>
    <w:rsid w:val="0025226A"/>
    <w:rsid w:val="00254483"/>
    <w:rsid w:val="002549AE"/>
    <w:rsid w:val="0025514D"/>
    <w:rsid w:val="0025561B"/>
    <w:rsid w:val="00255669"/>
    <w:rsid w:val="00255DD7"/>
    <w:rsid w:val="00256F48"/>
    <w:rsid w:val="002614BE"/>
    <w:rsid w:val="00261657"/>
    <w:rsid w:val="002617E4"/>
    <w:rsid w:val="00263420"/>
    <w:rsid w:val="002639AE"/>
    <w:rsid w:val="002641BD"/>
    <w:rsid w:val="00264506"/>
    <w:rsid w:val="002649C6"/>
    <w:rsid w:val="002659A3"/>
    <w:rsid w:val="00266923"/>
    <w:rsid w:val="0026700B"/>
    <w:rsid w:val="002675EE"/>
    <w:rsid w:val="00267F1D"/>
    <w:rsid w:val="0027458E"/>
    <w:rsid w:val="00274B4E"/>
    <w:rsid w:val="00275642"/>
    <w:rsid w:val="0027608B"/>
    <w:rsid w:val="0028015C"/>
    <w:rsid w:val="002808D2"/>
    <w:rsid w:val="00283A60"/>
    <w:rsid w:val="0028589D"/>
    <w:rsid w:val="00287C73"/>
    <w:rsid w:val="00291174"/>
    <w:rsid w:val="002922D1"/>
    <w:rsid w:val="00292881"/>
    <w:rsid w:val="00294C2E"/>
    <w:rsid w:val="00294EBD"/>
    <w:rsid w:val="0029509A"/>
    <w:rsid w:val="002965C6"/>
    <w:rsid w:val="0029694D"/>
    <w:rsid w:val="002A1E05"/>
    <w:rsid w:val="002A1E34"/>
    <w:rsid w:val="002A2504"/>
    <w:rsid w:val="002A2AB0"/>
    <w:rsid w:val="002A3090"/>
    <w:rsid w:val="002A4538"/>
    <w:rsid w:val="002A6E06"/>
    <w:rsid w:val="002A7583"/>
    <w:rsid w:val="002A7637"/>
    <w:rsid w:val="002A7EA9"/>
    <w:rsid w:val="002B0240"/>
    <w:rsid w:val="002B091C"/>
    <w:rsid w:val="002B48C2"/>
    <w:rsid w:val="002B6655"/>
    <w:rsid w:val="002C00DE"/>
    <w:rsid w:val="002C044E"/>
    <w:rsid w:val="002C09B3"/>
    <w:rsid w:val="002C1C24"/>
    <w:rsid w:val="002C1DE3"/>
    <w:rsid w:val="002C288B"/>
    <w:rsid w:val="002C32C6"/>
    <w:rsid w:val="002C670C"/>
    <w:rsid w:val="002C696F"/>
    <w:rsid w:val="002C7D8D"/>
    <w:rsid w:val="002D0BAC"/>
    <w:rsid w:val="002D24BB"/>
    <w:rsid w:val="002D361B"/>
    <w:rsid w:val="002D389F"/>
    <w:rsid w:val="002D4E30"/>
    <w:rsid w:val="002D5119"/>
    <w:rsid w:val="002E182A"/>
    <w:rsid w:val="002E1DA6"/>
    <w:rsid w:val="002E33A2"/>
    <w:rsid w:val="002E4A3E"/>
    <w:rsid w:val="002E5B1A"/>
    <w:rsid w:val="002E618A"/>
    <w:rsid w:val="002E6C38"/>
    <w:rsid w:val="002E6C6F"/>
    <w:rsid w:val="002F1494"/>
    <w:rsid w:val="002F1E81"/>
    <w:rsid w:val="002F2DC3"/>
    <w:rsid w:val="002F35CA"/>
    <w:rsid w:val="002F5502"/>
    <w:rsid w:val="002F65AE"/>
    <w:rsid w:val="002F7DDF"/>
    <w:rsid w:val="0030076A"/>
    <w:rsid w:val="0030128C"/>
    <w:rsid w:val="00301DF8"/>
    <w:rsid w:val="00303119"/>
    <w:rsid w:val="00303204"/>
    <w:rsid w:val="00303449"/>
    <w:rsid w:val="00304586"/>
    <w:rsid w:val="00305BBD"/>
    <w:rsid w:val="003105F0"/>
    <w:rsid w:val="00310C4A"/>
    <w:rsid w:val="003115BC"/>
    <w:rsid w:val="00312CA0"/>
    <w:rsid w:val="0031357B"/>
    <w:rsid w:val="003137D8"/>
    <w:rsid w:val="00315FDC"/>
    <w:rsid w:val="00317FDC"/>
    <w:rsid w:val="00320CAD"/>
    <w:rsid w:val="00320D2B"/>
    <w:rsid w:val="003219F2"/>
    <w:rsid w:val="00321D6D"/>
    <w:rsid w:val="003229E7"/>
    <w:rsid w:val="00323B94"/>
    <w:rsid w:val="003240A6"/>
    <w:rsid w:val="003241BA"/>
    <w:rsid w:val="00325268"/>
    <w:rsid w:val="0032780B"/>
    <w:rsid w:val="003300FC"/>
    <w:rsid w:val="00330414"/>
    <w:rsid w:val="00330774"/>
    <w:rsid w:val="0033470E"/>
    <w:rsid w:val="00336A35"/>
    <w:rsid w:val="00340602"/>
    <w:rsid w:val="00341AE9"/>
    <w:rsid w:val="00341BEC"/>
    <w:rsid w:val="00343964"/>
    <w:rsid w:val="0034541F"/>
    <w:rsid w:val="00345D10"/>
    <w:rsid w:val="0034622E"/>
    <w:rsid w:val="00346562"/>
    <w:rsid w:val="00346CD4"/>
    <w:rsid w:val="00347723"/>
    <w:rsid w:val="003505F0"/>
    <w:rsid w:val="0035557B"/>
    <w:rsid w:val="003556C4"/>
    <w:rsid w:val="00355C7B"/>
    <w:rsid w:val="00356DEF"/>
    <w:rsid w:val="003573E8"/>
    <w:rsid w:val="00357EE0"/>
    <w:rsid w:val="0036049B"/>
    <w:rsid w:val="003610BC"/>
    <w:rsid w:val="003612E6"/>
    <w:rsid w:val="00361C7C"/>
    <w:rsid w:val="00362216"/>
    <w:rsid w:val="00363BF6"/>
    <w:rsid w:val="0036407B"/>
    <w:rsid w:val="00364E3C"/>
    <w:rsid w:val="00365784"/>
    <w:rsid w:val="00366B41"/>
    <w:rsid w:val="00373834"/>
    <w:rsid w:val="00375A13"/>
    <w:rsid w:val="00375FCE"/>
    <w:rsid w:val="00376414"/>
    <w:rsid w:val="003779A9"/>
    <w:rsid w:val="00377B31"/>
    <w:rsid w:val="00382A93"/>
    <w:rsid w:val="00383944"/>
    <w:rsid w:val="00386F08"/>
    <w:rsid w:val="00386FCC"/>
    <w:rsid w:val="003879E3"/>
    <w:rsid w:val="00391E93"/>
    <w:rsid w:val="00392CEF"/>
    <w:rsid w:val="00393BBB"/>
    <w:rsid w:val="00394E2C"/>
    <w:rsid w:val="003960DF"/>
    <w:rsid w:val="00396897"/>
    <w:rsid w:val="00396B8F"/>
    <w:rsid w:val="003977A6"/>
    <w:rsid w:val="003A0267"/>
    <w:rsid w:val="003A229F"/>
    <w:rsid w:val="003A22F9"/>
    <w:rsid w:val="003A4662"/>
    <w:rsid w:val="003A52DD"/>
    <w:rsid w:val="003B03F5"/>
    <w:rsid w:val="003B1772"/>
    <w:rsid w:val="003B1C89"/>
    <w:rsid w:val="003B2C2C"/>
    <w:rsid w:val="003B4709"/>
    <w:rsid w:val="003B4BC3"/>
    <w:rsid w:val="003B7F19"/>
    <w:rsid w:val="003C11FD"/>
    <w:rsid w:val="003C33FF"/>
    <w:rsid w:val="003C3A72"/>
    <w:rsid w:val="003C77A6"/>
    <w:rsid w:val="003C78E5"/>
    <w:rsid w:val="003C7CEC"/>
    <w:rsid w:val="003D0DEB"/>
    <w:rsid w:val="003D1C2B"/>
    <w:rsid w:val="003D2917"/>
    <w:rsid w:val="003D3134"/>
    <w:rsid w:val="003D4677"/>
    <w:rsid w:val="003D55F0"/>
    <w:rsid w:val="003D5AE8"/>
    <w:rsid w:val="003D5F9D"/>
    <w:rsid w:val="003D6AC9"/>
    <w:rsid w:val="003D7A40"/>
    <w:rsid w:val="003E030F"/>
    <w:rsid w:val="003E1893"/>
    <w:rsid w:val="003E30FC"/>
    <w:rsid w:val="003E369F"/>
    <w:rsid w:val="003E461C"/>
    <w:rsid w:val="003E56BB"/>
    <w:rsid w:val="003E67F3"/>
    <w:rsid w:val="003E6DCC"/>
    <w:rsid w:val="003F0326"/>
    <w:rsid w:val="003F0A6D"/>
    <w:rsid w:val="003F151E"/>
    <w:rsid w:val="003F2353"/>
    <w:rsid w:val="003F309C"/>
    <w:rsid w:val="003F4771"/>
    <w:rsid w:val="003F47D3"/>
    <w:rsid w:val="003F4948"/>
    <w:rsid w:val="003F67B7"/>
    <w:rsid w:val="003F67CB"/>
    <w:rsid w:val="003F7375"/>
    <w:rsid w:val="003F73D4"/>
    <w:rsid w:val="003F75F9"/>
    <w:rsid w:val="00401328"/>
    <w:rsid w:val="00401FAF"/>
    <w:rsid w:val="004043C1"/>
    <w:rsid w:val="00404AB8"/>
    <w:rsid w:val="00404F9E"/>
    <w:rsid w:val="004058BA"/>
    <w:rsid w:val="00405B58"/>
    <w:rsid w:val="004063FF"/>
    <w:rsid w:val="00410ECA"/>
    <w:rsid w:val="00411928"/>
    <w:rsid w:val="00412326"/>
    <w:rsid w:val="00414FBD"/>
    <w:rsid w:val="0041528C"/>
    <w:rsid w:val="00416237"/>
    <w:rsid w:val="00417211"/>
    <w:rsid w:val="0042002A"/>
    <w:rsid w:val="004200E4"/>
    <w:rsid w:val="004229D8"/>
    <w:rsid w:val="00423314"/>
    <w:rsid w:val="0042340A"/>
    <w:rsid w:val="0042347A"/>
    <w:rsid w:val="004244E4"/>
    <w:rsid w:val="0042469E"/>
    <w:rsid w:val="0042644C"/>
    <w:rsid w:val="004268F1"/>
    <w:rsid w:val="0042703E"/>
    <w:rsid w:val="00430003"/>
    <w:rsid w:val="004322F9"/>
    <w:rsid w:val="0043293F"/>
    <w:rsid w:val="00434B9D"/>
    <w:rsid w:val="00440655"/>
    <w:rsid w:val="0044215B"/>
    <w:rsid w:val="00442A0B"/>
    <w:rsid w:val="004434E8"/>
    <w:rsid w:val="00445F46"/>
    <w:rsid w:val="004468DD"/>
    <w:rsid w:val="00447831"/>
    <w:rsid w:val="00450F06"/>
    <w:rsid w:val="004511EE"/>
    <w:rsid w:val="004519EF"/>
    <w:rsid w:val="00451D67"/>
    <w:rsid w:val="00452BD7"/>
    <w:rsid w:val="004541E0"/>
    <w:rsid w:val="00457BCC"/>
    <w:rsid w:val="00460546"/>
    <w:rsid w:val="0046258C"/>
    <w:rsid w:val="00464A42"/>
    <w:rsid w:val="004676BB"/>
    <w:rsid w:val="004734E9"/>
    <w:rsid w:val="00473654"/>
    <w:rsid w:val="004757A2"/>
    <w:rsid w:val="00475835"/>
    <w:rsid w:val="00475F12"/>
    <w:rsid w:val="004760A7"/>
    <w:rsid w:val="00476E58"/>
    <w:rsid w:val="00483091"/>
    <w:rsid w:val="00483A1D"/>
    <w:rsid w:val="00484DA1"/>
    <w:rsid w:val="00486B17"/>
    <w:rsid w:val="00486C51"/>
    <w:rsid w:val="00487749"/>
    <w:rsid w:val="00487893"/>
    <w:rsid w:val="0048794F"/>
    <w:rsid w:val="00487BB7"/>
    <w:rsid w:val="0049079F"/>
    <w:rsid w:val="00492A55"/>
    <w:rsid w:val="004930FF"/>
    <w:rsid w:val="00493EE7"/>
    <w:rsid w:val="0049489A"/>
    <w:rsid w:val="00494A05"/>
    <w:rsid w:val="00495B88"/>
    <w:rsid w:val="00496714"/>
    <w:rsid w:val="00496CE0"/>
    <w:rsid w:val="00497E13"/>
    <w:rsid w:val="004A129B"/>
    <w:rsid w:val="004A133E"/>
    <w:rsid w:val="004A1DA0"/>
    <w:rsid w:val="004A27D1"/>
    <w:rsid w:val="004A3100"/>
    <w:rsid w:val="004A5393"/>
    <w:rsid w:val="004A54DB"/>
    <w:rsid w:val="004A65A7"/>
    <w:rsid w:val="004B17C2"/>
    <w:rsid w:val="004B2F17"/>
    <w:rsid w:val="004B3ABD"/>
    <w:rsid w:val="004B5919"/>
    <w:rsid w:val="004B61C2"/>
    <w:rsid w:val="004C1A2D"/>
    <w:rsid w:val="004C1F19"/>
    <w:rsid w:val="004D03E1"/>
    <w:rsid w:val="004D211C"/>
    <w:rsid w:val="004D5058"/>
    <w:rsid w:val="004D54EC"/>
    <w:rsid w:val="004D5621"/>
    <w:rsid w:val="004D5F0C"/>
    <w:rsid w:val="004E06FB"/>
    <w:rsid w:val="004E09D7"/>
    <w:rsid w:val="004E16EA"/>
    <w:rsid w:val="004E2C0D"/>
    <w:rsid w:val="004E43F3"/>
    <w:rsid w:val="004E5789"/>
    <w:rsid w:val="004E5CBB"/>
    <w:rsid w:val="004E78DE"/>
    <w:rsid w:val="004F3A0C"/>
    <w:rsid w:val="004F44E8"/>
    <w:rsid w:val="004F47FC"/>
    <w:rsid w:val="004F4C3D"/>
    <w:rsid w:val="004F5173"/>
    <w:rsid w:val="004F524F"/>
    <w:rsid w:val="004F613B"/>
    <w:rsid w:val="004F7BF2"/>
    <w:rsid w:val="004F7E38"/>
    <w:rsid w:val="00500104"/>
    <w:rsid w:val="00500895"/>
    <w:rsid w:val="00500EEC"/>
    <w:rsid w:val="005039F6"/>
    <w:rsid w:val="00504859"/>
    <w:rsid w:val="00505A35"/>
    <w:rsid w:val="00505A9B"/>
    <w:rsid w:val="00506D49"/>
    <w:rsid w:val="00506F66"/>
    <w:rsid w:val="0050765F"/>
    <w:rsid w:val="00507F27"/>
    <w:rsid w:val="0051216D"/>
    <w:rsid w:val="00512CC9"/>
    <w:rsid w:val="005140F1"/>
    <w:rsid w:val="00514C7A"/>
    <w:rsid w:val="00520522"/>
    <w:rsid w:val="00521648"/>
    <w:rsid w:val="0052191E"/>
    <w:rsid w:val="00522FC4"/>
    <w:rsid w:val="0052363A"/>
    <w:rsid w:val="00523781"/>
    <w:rsid w:val="00524151"/>
    <w:rsid w:val="00524913"/>
    <w:rsid w:val="00525DDC"/>
    <w:rsid w:val="00525E1A"/>
    <w:rsid w:val="00530128"/>
    <w:rsid w:val="005306C8"/>
    <w:rsid w:val="0053075F"/>
    <w:rsid w:val="00533C44"/>
    <w:rsid w:val="00533DAB"/>
    <w:rsid w:val="0053679F"/>
    <w:rsid w:val="00537B25"/>
    <w:rsid w:val="00540F54"/>
    <w:rsid w:val="00541465"/>
    <w:rsid w:val="00541737"/>
    <w:rsid w:val="00541E63"/>
    <w:rsid w:val="00542341"/>
    <w:rsid w:val="005441E3"/>
    <w:rsid w:val="00546707"/>
    <w:rsid w:val="005467F1"/>
    <w:rsid w:val="0055022A"/>
    <w:rsid w:val="00552857"/>
    <w:rsid w:val="00553555"/>
    <w:rsid w:val="00555C71"/>
    <w:rsid w:val="0056029E"/>
    <w:rsid w:val="00560FEF"/>
    <w:rsid w:val="00561DDE"/>
    <w:rsid w:val="0056460D"/>
    <w:rsid w:val="0056503D"/>
    <w:rsid w:val="0056512C"/>
    <w:rsid w:val="005654D6"/>
    <w:rsid w:val="0056577F"/>
    <w:rsid w:val="00565D17"/>
    <w:rsid w:val="00566F5D"/>
    <w:rsid w:val="00570AC7"/>
    <w:rsid w:val="0057131D"/>
    <w:rsid w:val="00574938"/>
    <w:rsid w:val="00575C53"/>
    <w:rsid w:val="00576732"/>
    <w:rsid w:val="00581AE2"/>
    <w:rsid w:val="00583072"/>
    <w:rsid w:val="00583856"/>
    <w:rsid w:val="00583D97"/>
    <w:rsid w:val="00584B9C"/>
    <w:rsid w:val="00591FFE"/>
    <w:rsid w:val="005935EA"/>
    <w:rsid w:val="00594835"/>
    <w:rsid w:val="00597202"/>
    <w:rsid w:val="00597E6D"/>
    <w:rsid w:val="005A028D"/>
    <w:rsid w:val="005A0854"/>
    <w:rsid w:val="005A17E8"/>
    <w:rsid w:val="005A1EA0"/>
    <w:rsid w:val="005A3F67"/>
    <w:rsid w:val="005A41E3"/>
    <w:rsid w:val="005A4F9C"/>
    <w:rsid w:val="005A56C0"/>
    <w:rsid w:val="005A7A5F"/>
    <w:rsid w:val="005B1575"/>
    <w:rsid w:val="005B1C9C"/>
    <w:rsid w:val="005B25F5"/>
    <w:rsid w:val="005B2EA3"/>
    <w:rsid w:val="005B3302"/>
    <w:rsid w:val="005B4AE0"/>
    <w:rsid w:val="005B7E29"/>
    <w:rsid w:val="005C2117"/>
    <w:rsid w:val="005C552D"/>
    <w:rsid w:val="005C5E3E"/>
    <w:rsid w:val="005C670B"/>
    <w:rsid w:val="005C772B"/>
    <w:rsid w:val="005D0212"/>
    <w:rsid w:val="005D1498"/>
    <w:rsid w:val="005D2553"/>
    <w:rsid w:val="005D2F81"/>
    <w:rsid w:val="005D386F"/>
    <w:rsid w:val="005D3A28"/>
    <w:rsid w:val="005D3C31"/>
    <w:rsid w:val="005D6A08"/>
    <w:rsid w:val="005D7093"/>
    <w:rsid w:val="005D7A8E"/>
    <w:rsid w:val="005E0D77"/>
    <w:rsid w:val="005E3CA5"/>
    <w:rsid w:val="005E5118"/>
    <w:rsid w:val="005F0B0C"/>
    <w:rsid w:val="005F120E"/>
    <w:rsid w:val="005F1B0F"/>
    <w:rsid w:val="005F2F6F"/>
    <w:rsid w:val="005F5006"/>
    <w:rsid w:val="005F5039"/>
    <w:rsid w:val="005F54B0"/>
    <w:rsid w:val="005F5A11"/>
    <w:rsid w:val="005F5C28"/>
    <w:rsid w:val="005F6586"/>
    <w:rsid w:val="005F69DE"/>
    <w:rsid w:val="005F767A"/>
    <w:rsid w:val="005F7CD3"/>
    <w:rsid w:val="00600048"/>
    <w:rsid w:val="00600FF4"/>
    <w:rsid w:val="00605428"/>
    <w:rsid w:val="00606B13"/>
    <w:rsid w:val="00607044"/>
    <w:rsid w:val="00607673"/>
    <w:rsid w:val="00607AEA"/>
    <w:rsid w:val="006109AE"/>
    <w:rsid w:val="00614D82"/>
    <w:rsid w:val="00615FCC"/>
    <w:rsid w:val="006161A9"/>
    <w:rsid w:val="00616DF0"/>
    <w:rsid w:val="00621A5B"/>
    <w:rsid w:val="00622B23"/>
    <w:rsid w:val="00622F70"/>
    <w:rsid w:val="00623F64"/>
    <w:rsid w:val="00625BC1"/>
    <w:rsid w:val="00627419"/>
    <w:rsid w:val="00630915"/>
    <w:rsid w:val="0063109A"/>
    <w:rsid w:val="00631DAE"/>
    <w:rsid w:val="00632471"/>
    <w:rsid w:val="00632641"/>
    <w:rsid w:val="0063298E"/>
    <w:rsid w:val="00634270"/>
    <w:rsid w:val="00636926"/>
    <w:rsid w:val="00636CDC"/>
    <w:rsid w:val="00637507"/>
    <w:rsid w:val="00637B39"/>
    <w:rsid w:val="006415FE"/>
    <w:rsid w:val="006428BB"/>
    <w:rsid w:val="006429A4"/>
    <w:rsid w:val="0064371A"/>
    <w:rsid w:val="00643DE5"/>
    <w:rsid w:val="00644AEC"/>
    <w:rsid w:val="00645F13"/>
    <w:rsid w:val="00646DFB"/>
    <w:rsid w:val="0064732D"/>
    <w:rsid w:val="00651174"/>
    <w:rsid w:val="00651DF5"/>
    <w:rsid w:val="0065336B"/>
    <w:rsid w:val="00653A39"/>
    <w:rsid w:val="00653F9C"/>
    <w:rsid w:val="0065416F"/>
    <w:rsid w:val="006552BA"/>
    <w:rsid w:val="00657BA4"/>
    <w:rsid w:val="00657CF2"/>
    <w:rsid w:val="006616C5"/>
    <w:rsid w:val="00664058"/>
    <w:rsid w:val="00664E53"/>
    <w:rsid w:val="00665FFB"/>
    <w:rsid w:val="006664BE"/>
    <w:rsid w:val="00666BB7"/>
    <w:rsid w:val="00666DF7"/>
    <w:rsid w:val="00666F37"/>
    <w:rsid w:val="00667475"/>
    <w:rsid w:val="00667F01"/>
    <w:rsid w:val="006703B8"/>
    <w:rsid w:val="00670A49"/>
    <w:rsid w:val="00670BDE"/>
    <w:rsid w:val="00673C3F"/>
    <w:rsid w:val="006753AE"/>
    <w:rsid w:val="00675E70"/>
    <w:rsid w:val="00676832"/>
    <w:rsid w:val="00676B9D"/>
    <w:rsid w:val="006770E9"/>
    <w:rsid w:val="00680745"/>
    <w:rsid w:val="00680893"/>
    <w:rsid w:val="00681424"/>
    <w:rsid w:val="006818EB"/>
    <w:rsid w:val="00682349"/>
    <w:rsid w:val="00683481"/>
    <w:rsid w:val="00683589"/>
    <w:rsid w:val="0068408F"/>
    <w:rsid w:val="00684276"/>
    <w:rsid w:val="00685ADD"/>
    <w:rsid w:val="00685F86"/>
    <w:rsid w:val="00686A13"/>
    <w:rsid w:val="006870B9"/>
    <w:rsid w:val="00687549"/>
    <w:rsid w:val="00691EA4"/>
    <w:rsid w:val="006949C4"/>
    <w:rsid w:val="00695C96"/>
    <w:rsid w:val="00696E3C"/>
    <w:rsid w:val="006A015D"/>
    <w:rsid w:val="006A0BAC"/>
    <w:rsid w:val="006A35DC"/>
    <w:rsid w:val="006A572C"/>
    <w:rsid w:val="006A5D3C"/>
    <w:rsid w:val="006A60D8"/>
    <w:rsid w:val="006B019F"/>
    <w:rsid w:val="006B330B"/>
    <w:rsid w:val="006B3644"/>
    <w:rsid w:val="006B37AE"/>
    <w:rsid w:val="006B3B59"/>
    <w:rsid w:val="006B4C7E"/>
    <w:rsid w:val="006B4E87"/>
    <w:rsid w:val="006B57FF"/>
    <w:rsid w:val="006B58B5"/>
    <w:rsid w:val="006B6533"/>
    <w:rsid w:val="006B68B8"/>
    <w:rsid w:val="006B6CE6"/>
    <w:rsid w:val="006C113D"/>
    <w:rsid w:val="006C1B6F"/>
    <w:rsid w:val="006C49D2"/>
    <w:rsid w:val="006C4AEA"/>
    <w:rsid w:val="006C4CD6"/>
    <w:rsid w:val="006C63EF"/>
    <w:rsid w:val="006D0C11"/>
    <w:rsid w:val="006D0CDD"/>
    <w:rsid w:val="006D0E4E"/>
    <w:rsid w:val="006D1119"/>
    <w:rsid w:val="006D13B7"/>
    <w:rsid w:val="006D1744"/>
    <w:rsid w:val="006D1E89"/>
    <w:rsid w:val="006D30C3"/>
    <w:rsid w:val="006D3253"/>
    <w:rsid w:val="006D3258"/>
    <w:rsid w:val="006D3A45"/>
    <w:rsid w:val="006D3C33"/>
    <w:rsid w:val="006D5097"/>
    <w:rsid w:val="006D52EC"/>
    <w:rsid w:val="006D5380"/>
    <w:rsid w:val="006D6D66"/>
    <w:rsid w:val="006D6FF5"/>
    <w:rsid w:val="006D7D37"/>
    <w:rsid w:val="006E0F9F"/>
    <w:rsid w:val="006E27E0"/>
    <w:rsid w:val="006E3384"/>
    <w:rsid w:val="006E4733"/>
    <w:rsid w:val="006E4BCB"/>
    <w:rsid w:val="006E4DE8"/>
    <w:rsid w:val="006E5505"/>
    <w:rsid w:val="006E58EA"/>
    <w:rsid w:val="006E5B2D"/>
    <w:rsid w:val="006E6E6F"/>
    <w:rsid w:val="006E7288"/>
    <w:rsid w:val="006E7D38"/>
    <w:rsid w:val="006F0ADE"/>
    <w:rsid w:val="006F0B79"/>
    <w:rsid w:val="006F2C14"/>
    <w:rsid w:val="006F3F3A"/>
    <w:rsid w:val="006F500A"/>
    <w:rsid w:val="006F5956"/>
    <w:rsid w:val="00701F80"/>
    <w:rsid w:val="007040B5"/>
    <w:rsid w:val="00704183"/>
    <w:rsid w:val="00705F17"/>
    <w:rsid w:val="00705F71"/>
    <w:rsid w:val="00710031"/>
    <w:rsid w:val="00712A9E"/>
    <w:rsid w:val="00712F92"/>
    <w:rsid w:val="00712FAC"/>
    <w:rsid w:val="00714D6F"/>
    <w:rsid w:val="00715E5F"/>
    <w:rsid w:val="00717E87"/>
    <w:rsid w:val="007213D3"/>
    <w:rsid w:val="00721678"/>
    <w:rsid w:val="00723D27"/>
    <w:rsid w:val="00724409"/>
    <w:rsid w:val="0072656E"/>
    <w:rsid w:val="007265C7"/>
    <w:rsid w:val="007279E3"/>
    <w:rsid w:val="00730720"/>
    <w:rsid w:val="00730CF1"/>
    <w:rsid w:val="00732B89"/>
    <w:rsid w:val="0073633B"/>
    <w:rsid w:val="007363A7"/>
    <w:rsid w:val="00742845"/>
    <w:rsid w:val="00742A9E"/>
    <w:rsid w:val="00743D0E"/>
    <w:rsid w:val="00745091"/>
    <w:rsid w:val="007456AD"/>
    <w:rsid w:val="0074663C"/>
    <w:rsid w:val="00746DB1"/>
    <w:rsid w:val="007477F3"/>
    <w:rsid w:val="00747BFD"/>
    <w:rsid w:val="00750DC2"/>
    <w:rsid w:val="0075177A"/>
    <w:rsid w:val="00752546"/>
    <w:rsid w:val="00753D0B"/>
    <w:rsid w:val="007540B6"/>
    <w:rsid w:val="00754E26"/>
    <w:rsid w:val="00754FD0"/>
    <w:rsid w:val="00757B86"/>
    <w:rsid w:val="00760253"/>
    <w:rsid w:val="00761255"/>
    <w:rsid w:val="00761971"/>
    <w:rsid w:val="0076233E"/>
    <w:rsid w:val="00763C61"/>
    <w:rsid w:val="007646CA"/>
    <w:rsid w:val="00765480"/>
    <w:rsid w:val="00771072"/>
    <w:rsid w:val="00771D50"/>
    <w:rsid w:val="007720F1"/>
    <w:rsid w:val="007722D5"/>
    <w:rsid w:val="00773257"/>
    <w:rsid w:val="007736EE"/>
    <w:rsid w:val="00773790"/>
    <w:rsid w:val="00773CEE"/>
    <w:rsid w:val="007742EA"/>
    <w:rsid w:val="007744AD"/>
    <w:rsid w:val="007747B8"/>
    <w:rsid w:val="00775C93"/>
    <w:rsid w:val="00776A99"/>
    <w:rsid w:val="0077796D"/>
    <w:rsid w:val="007803C7"/>
    <w:rsid w:val="0078044F"/>
    <w:rsid w:val="0078062D"/>
    <w:rsid w:val="00783670"/>
    <w:rsid w:val="007855A1"/>
    <w:rsid w:val="00785BEA"/>
    <w:rsid w:val="007860D5"/>
    <w:rsid w:val="007866E3"/>
    <w:rsid w:val="00786A4F"/>
    <w:rsid w:val="00787B66"/>
    <w:rsid w:val="00787C76"/>
    <w:rsid w:val="00790DAD"/>
    <w:rsid w:val="00791225"/>
    <w:rsid w:val="0079139C"/>
    <w:rsid w:val="00793065"/>
    <w:rsid w:val="007952D8"/>
    <w:rsid w:val="0079572F"/>
    <w:rsid w:val="007A03AE"/>
    <w:rsid w:val="007A0878"/>
    <w:rsid w:val="007A16B2"/>
    <w:rsid w:val="007A25EB"/>
    <w:rsid w:val="007A557B"/>
    <w:rsid w:val="007A5649"/>
    <w:rsid w:val="007A5F67"/>
    <w:rsid w:val="007A627F"/>
    <w:rsid w:val="007A6568"/>
    <w:rsid w:val="007B20A4"/>
    <w:rsid w:val="007B28AD"/>
    <w:rsid w:val="007B2D3F"/>
    <w:rsid w:val="007B4D99"/>
    <w:rsid w:val="007B5936"/>
    <w:rsid w:val="007B6466"/>
    <w:rsid w:val="007C1630"/>
    <w:rsid w:val="007C1DDB"/>
    <w:rsid w:val="007C2B2D"/>
    <w:rsid w:val="007C4354"/>
    <w:rsid w:val="007C59C4"/>
    <w:rsid w:val="007C62A1"/>
    <w:rsid w:val="007C69D6"/>
    <w:rsid w:val="007C7590"/>
    <w:rsid w:val="007C7887"/>
    <w:rsid w:val="007D0A70"/>
    <w:rsid w:val="007D0D43"/>
    <w:rsid w:val="007D110C"/>
    <w:rsid w:val="007D2173"/>
    <w:rsid w:val="007D2CB9"/>
    <w:rsid w:val="007D32E6"/>
    <w:rsid w:val="007D458E"/>
    <w:rsid w:val="007D46B0"/>
    <w:rsid w:val="007D5D71"/>
    <w:rsid w:val="007D6673"/>
    <w:rsid w:val="007D6CFF"/>
    <w:rsid w:val="007D7DE6"/>
    <w:rsid w:val="007E0361"/>
    <w:rsid w:val="007E0489"/>
    <w:rsid w:val="007E1B73"/>
    <w:rsid w:val="007E2EAE"/>
    <w:rsid w:val="007E4148"/>
    <w:rsid w:val="007E43D7"/>
    <w:rsid w:val="007E761A"/>
    <w:rsid w:val="007E7D39"/>
    <w:rsid w:val="007F0392"/>
    <w:rsid w:val="007F08C7"/>
    <w:rsid w:val="007F0958"/>
    <w:rsid w:val="007F13B1"/>
    <w:rsid w:val="007F147D"/>
    <w:rsid w:val="007F1659"/>
    <w:rsid w:val="007F1BD7"/>
    <w:rsid w:val="007F4612"/>
    <w:rsid w:val="007F5494"/>
    <w:rsid w:val="007F557B"/>
    <w:rsid w:val="007F5F64"/>
    <w:rsid w:val="007F6B34"/>
    <w:rsid w:val="007F7404"/>
    <w:rsid w:val="007F7405"/>
    <w:rsid w:val="007F7EDE"/>
    <w:rsid w:val="00800909"/>
    <w:rsid w:val="00802273"/>
    <w:rsid w:val="008045F1"/>
    <w:rsid w:val="008078D8"/>
    <w:rsid w:val="00807A4D"/>
    <w:rsid w:val="00810944"/>
    <w:rsid w:val="00811CE2"/>
    <w:rsid w:val="00812A13"/>
    <w:rsid w:val="00812FF7"/>
    <w:rsid w:val="0081377E"/>
    <w:rsid w:val="00815996"/>
    <w:rsid w:val="0081650D"/>
    <w:rsid w:val="00816B33"/>
    <w:rsid w:val="00817524"/>
    <w:rsid w:val="00817A38"/>
    <w:rsid w:val="0082151F"/>
    <w:rsid w:val="00822643"/>
    <w:rsid w:val="008227DB"/>
    <w:rsid w:val="00823FBF"/>
    <w:rsid w:val="0082425A"/>
    <w:rsid w:val="008277EC"/>
    <w:rsid w:val="0083095E"/>
    <w:rsid w:val="00830C8D"/>
    <w:rsid w:val="00831BC5"/>
    <w:rsid w:val="0083344C"/>
    <w:rsid w:val="008371A1"/>
    <w:rsid w:val="0084091C"/>
    <w:rsid w:val="00841857"/>
    <w:rsid w:val="008422E9"/>
    <w:rsid w:val="0084303F"/>
    <w:rsid w:val="008430BF"/>
    <w:rsid w:val="00843B59"/>
    <w:rsid w:val="00843D72"/>
    <w:rsid w:val="00846283"/>
    <w:rsid w:val="008462DF"/>
    <w:rsid w:val="0084672A"/>
    <w:rsid w:val="00846A5F"/>
    <w:rsid w:val="00846E5A"/>
    <w:rsid w:val="008471A8"/>
    <w:rsid w:val="0084792A"/>
    <w:rsid w:val="008505F5"/>
    <w:rsid w:val="00852122"/>
    <w:rsid w:val="008551D8"/>
    <w:rsid w:val="00855544"/>
    <w:rsid w:val="008559A5"/>
    <w:rsid w:val="00855B75"/>
    <w:rsid w:val="00855C70"/>
    <w:rsid w:val="00856F7F"/>
    <w:rsid w:val="00857241"/>
    <w:rsid w:val="0086047E"/>
    <w:rsid w:val="008632F0"/>
    <w:rsid w:val="0086584E"/>
    <w:rsid w:val="008658C5"/>
    <w:rsid w:val="008660DB"/>
    <w:rsid w:val="0086615C"/>
    <w:rsid w:val="00866AD2"/>
    <w:rsid w:val="00870D67"/>
    <w:rsid w:val="00870E08"/>
    <w:rsid w:val="008719E0"/>
    <w:rsid w:val="00872BAA"/>
    <w:rsid w:val="00873E03"/>
    <w:rsid w:val="008768A2"/>
    <w:rsid w:val="00880989"/>
    <w:rsid w:val="00881F02"/>
    <w:rsid w:val="00883CC0"/>
    <w:rsid w:val="00883DB6"/>
    <w:rsid w:val="00884257"/>
    <w:rsid w:val="00884D70"/>
    <w:rsid w:val="00885594"/>
    <w:rsid w:val="0088660D"/>
    <w:rsid w:val="0088695A"/>
    <w:rsid w:val="00887AE3"/>
    <w:rsid w:val="00890BF5"/>
    <w:rsid w:val="00891B00"/>
    <w:rsid w:val="00892C1C"/>
    <w:rsid w:val="008931BE"/>
    <w:rsid w:val="00894E58"/>
    <w:rsid w:val="00895146"/>
    <w:rsid w:val="0089543F"/>
    <w:rsid w:val="008A0690"/>
    <w:rsid w:val="008A20F8"/>
    <w:rsid w:val="008A331F"/>
    <w:rsid w:val="008A3507"/>
    <w:rsid w:val="008A43E8"/>
    <w:rsid w:val="008A65DD"/>
    <w:rsid w:val="008A731B"/>
    <w:rsid w:val="008A7418"/>
    <w:rsid w:val="008B3AA6"/>
    <w:rsid w:val="008B3B67"/>
    <w:rsid w:val="008B6602"/>
    <w:rsid w:val="008B6A99"/>
    <w:rsid w:val="008B76FD"/>
    <w:rsid w:val="008C02FF"/>
    <w:rsid w:val="008C3819"/>
    <w:rsid w:val="008C4A74"/>
    <w:rsid w:val="008C4CCC"/>
    <w:rsid w:val="008C5E7D"/>
    <w:rsid w:val="008C6264"/>
    <w:rsid w:val="008C6FD8"/>
    <w:rsid w:val="008C7320"/>
    <w:rsid w:val="008C7407"/>
    <w:rsid w:val="008C762E"/>
    <w:rsid w:val="008D12F3"/>
    <w:rsid w:val="008D1665"/>
    <w:rsid w:val="008D1C52"/>
    <w:rsid w:val="008D3F36"/>
    <w:rsid w:val="008D42BB"/>
    <w:rsid w:val="008D48B3"/>
    <w:rsid w:val="008D59A7"/>
    <w:rsid w:val="008D6DE1"/>
    <w:rsid w:val="008D75AD"/>
    <w:rsid w:val="008E0CDE"/>
    <w:rsid w:val="008E1A99"/>
    <w:rsid w:val="008E3079"/>
    <w:rsid w:val="008E3ED3"/>
    <w:rsid w:val="008E4C02"/>
    <w:rsid w:val="008E573B"/>
    <w:rsid w:val="008E5EC2"/>
    <w:rsid w:val="008E7930"/>
    <w:rsid w:val="008F24AB"/>
    <w:rsid w:val="008F29F2"/>
    <w:rsid w:val="008F2B8E"/>
    <w:rsid w:val="008F2E7A"/>
    <w:rsid w:val="008F3EF7"/>
    <w:rsid w:val="008F4057"/>
    <w:rsid w:val="008F482E"/>
    <w:rsid w:val="008F51FE"/>
    <w:rsid w:val="008F7E3C"/>
    <w:rsid w:val="00900B1D"/>
    <w:rsid w:val="00900C5C"/>
    <w:rsid w:val="00901944"/>
    <w:rsid w:val="00901955"/>
    <w:rsid w:val="00903DAF"/>
    <w:rsid w:val="00904A6B"/>
    <w:rsid w:val="00904DFD"/>
    <w:rsid w:val="00906F5D"/>
    <w:rsid w:val="0090718D"/>
    <w:rsid w:val="0090744D"/>
    <w:rsid w:val="009106E4"/>
    <w:rsid w:val="00911F0F"/>
    <w:rsid w:val="0091215A"/>
    <w:rsid w:val="00912210"/>
    <w:rsid w:val="009127EC"/>
    <w:rsid w:val="00912AAB"/>
    <w:rsid w:val="00913C6F"/>
    <w:rsid w:val="00914670"/>
    <w:rsid w:val="009155EF"/>
    <w:rsid w:val="009162C6"/>
    <w:rsid w:val="00916704"/>
    <w:rsid w:val="00916D87"/>
    <w:rsid w:val="00920861"/>
    <w:rsid w:val="0092178A"/>
    <w:rsid w:val="00921E17"/>
    <w:rsid w:val="00922258"/>
    <w:rsid w:val="00922E0F"/>
    <w:rsid w:val="00924906"/>
    <w:rsid w:val="00925652"/>
    <w:rsid w:val="00926216"/>
    <w:rsid w:val="00927226"/>
    <w:rsid w:val="009300EB"/>
    <w:rsid w:val="00931A10"/>
    <w:rsid w:val="009346B5"/>
    <w:rsid w:val="00935214"/>
    <w:rsid w:val="00935DCB"/>
    <w:rsid w:val="00937445"/>
    <w:rsid w:val="00937684"/>
    <w:rsid w:val="00941288"/>
    <w:rsid w:val="00943A54"/>
    <w:rsid w:val="0094416D"/>
    <w:rsid w:val="009443AC"/>
    <w:rsid w:val="00945381"/>
    <w:rsid w:val="00945914"/>
    <w:rsid w:val="00945B9F"/>
    <w:rsid w:val="009469A1"/>
    <w:rsid w:val="00947607"/>
    <w:rsid w:val="00950C94"/>
    <w:rsid w:val="00952474"/>
    <w:rsid w:val="00953136"/>
    <w:rsid w:val="00953896"/>
    <w:rsid w:val="00953D94"/>
    <w:rsid w:val="00954738"/>
    <w:rsid w:val="00960A35"/>
    <w:rsid w:val="00960FD7"/>
    <w:rsid w:val="00961A5D"/>
    <w:rsid w:val="00961CD3"/>
    <w:rsid w:val="00961DBC"/>
    <w:rsid w:val="0096325D"/>
    <w:rsid w:val="00963BD7"/>
    <w:rsid w:val="00964281"/>
    <w:rsid w:val="00964B6D"/>
    <w:rsid w:val="009672C4"/>
    <w:rsid w:val="0096753A"/>
    <w:rsid w:val="00973196"/>
    <w:rsid w:val="009739AC"/>
    <w:rsid w:val="00973E58"/>
    <w:rsid w:val="00974316"/>
    <w:rsid w:val="009754DE"/>
    <w:rsid w:val="0097734D"/>
    <w:rsid w:val="009774E4"/>
    <w:rsid w:val="00980ECD"/>
    <w:rsid w:val="00982A4F"/>
    <w:rsid w:val="00983A5A"/>
    <w:rsid w:val="00983C20"/>
    <w:rsid w:val="0098407C"/>
    <w:rsid w:val="0098448C"/>
    <w:rsid w:val="00987445"/>
    <w:rsid w:val="009876C5"/>
    <w:rsid w:val="00990207"/>
    <w:rsid w:val="009914F3"/>
    <w:rsid w:val="00994334"/>
    <w:rsid w:val="00995142"/>
    <w:rsid w:val="00995DEF"/>
    <w:rsid w:val="00996960"/>
    <w:rsid w:val="00996DE9"/>
    <w:rsid w:val="009975AD"/>
    <w:rsid w:val="009A1A9C"/>
    <w:rsid w:val="009A29BC"/>
    <w:rsid w:val="009A41EB"/>
    <w:rsid w:val="009A4C65"/>
    <w:rsid w:val="009A4F2E"/>
    <w:rsid w:val="009A59A5"/>
    <w:rsid w:val="009A5F0B"/>
    <w:rsid w:val="009A6211"/>
    <w:rsid w:val="009A69E5"/>
    <w:rsid w:val="009A7E40"/>
    <w:rsid w:val="009B106A"/>
    <w:rsid w:val="009B204F"/>
    <w:rsid w:val="009B20B9"/>
    <w:rsid w:val="009B2B0B"/>
    <w:rsid w:val="009B2FDC"/>
    <w:rsid w:val="009B32C9"/>
    <w:rsid w:val="009B351F"/>
    <w:rsid w:val="009B3D17"/>
    <w:rsid w:val="009B4BF5"/>
    <w:rsid w:val="009B7ACD"/>
    <w:rsid w:val="009C0D6E"/>
    <w:rsid w:val="009C0EB9"/>
    <w:rsid w:val="009C0F64"/>
    <w:rsid w:val="009C5737"/>
    <w:rsid w:val="009C58E3"/>
    <w:rsid w:val="009D07AD"/>
    <w:rsid w:val="009D0A28"/>
    <w:rsid w:val="009D1866"/>
    <w:rsid w:val="009D2077"/>
    <w:rsid w:val="009D324E"/>
    <w:rsid w:val="009D6E68"/>
    <w:rsid w:val="009D7017"/>
    <w:rsid w:val="009E10B6"/>
    <w:rsid w:val="009E1809"/>
    <w:rsid w:val="009E1D9F"/>
    <w:rsid w:val="009E6021"/>
    <w:rsid w:val="009F266C"/>
    <w:rsid w:val="009F306E"/>
    <w:rsid w:val="009F398F"/>
    <w:rsid w:val="009F4408"/>
    <w:rsid w:val="009F48EE"/>
    <w:rsid w:val="009F5847"/>
    <w:rsid w:val="00A0274D"/>
    <w:rsid w:val="00A03FE8"/>
    <w:rsid w:val="00A0486E"/>
    <w:rsid w:val="00A0555D"/>
    <w:rsid w:val="00A056B9"/>
    <w:rsid w:val="00A060DB"/>
    <w:rsid w:val="00A07E9D"/>
    <w:rsid w:val="00A102D9"/>
    <w:rsid w:val="00A10813"/>
    <w:rsid w:val="00A11A5B"/>
    <w:rsid w:val="00A12021"/>
    <w:rsid w:val="00A13319"/>
    <w:rsid w:val="00A1344A"/>
    <w:rsid w:val="00A13826"/>
    <w:rsid w:val="00A13B4A"/>
    <w:rsid w:val="00A14CED"/>
    <w:rsid w:val="00A151E7"/>
    <w:rsid w:val="00A156D9"/>
    <w:rsid w:val="00A156DA"/>
    <w:rsid w:val="00A15C51"/>
    <w:rsid w:val="00A17215"/>
    <w:rsid w:val="00A17583"/>
    <w:rsid w:val="00A17B07"/>
    <w:rsid w:val="00A17DE9"/>
    <w:rsid w:val="00A21466"/>
    <w:rsid w:val="00A21E37"/>
    <w:rsid w:val="00A229E6"/>
    <w:rsid w:val="00A22CF9"/>
    <w:rsid w:val="00A23EF3"/>
    <w:rsid w:val="00A24107"/>
    <w:rsid w:val="00A26A4A"/>
    <w:rsid w:val="00A27035"/>
    <w:rsid w:val="00A30A7A"/>
    <w:rsid w:val="00A3197D"/>
    <w:rsid w:val="00A33ECA"/>
    <w:rsid w:val="00A34119"/>
    <w:rsid w:val="00A358A3"/>
    <w:rsid w:val="00A36819"/>
    <w:rsid w:val="00A37235"/>
    <w:rsid w:val="00A3735B"/>
    <w:rsid w:val="00A379C8"/>
    <w:rsid w:val="00A37AC6"/>
    <w:rsid w:val="00A4028C"/>
    <w:rsid w:val="00A402A4"/>
    <w:rsid w:val="00A41ABC"/>
    <w:rsid w:val="00A427A7"/>
    <w:rsid w:val="00A4484B"/>
    <w:rsid w:val="00A47732"/>
    <w:rsid w:val="00A5041B"/>
    <w:rsid w:val="00A53734"/>
    <w:rsid w:val="00A53900"/>
    <w:rsid w:val="00A60073"/>
    <w:rsid w:val="00A61C27"/>
    <w:rsid w:val="00A62C16"/>
    <w:rsid w:val="00A62C61"/>
    <w:rsid w:val="00A65245"/>
    <w:rsid w:val="00A655F8"/>
    <w:rsid w:val="00A66E09"/>
    <w:rsid w:val="00A70D89"/>
    <w:rsid w:val="00A717B3"/>
    <w:rsid w:val="00A721C4"/>
    <w:rsid w:val="00A72781"/>
    <w:rsid w:val="00A730FE"/>
    <w:rsid w:val="00A733B6"/>
    <w:rsid w:val="00A750AF"/>
    <w:rsid w:val="00A7587E"/>
    <w:rsid w:val="00A7597D"/>
    <w:rsid w:val="00A75E53"/>
    <w:rsid w:val="00A7608F"/>
    <w:rsid w:val="00A76710"/>
    <w:rsid w:val="00A77A35"/>
    <w:rsid w:val="00A803A7"/>
    <w:rsid w:val="00A8215D"/>
    <w:rsid w:val="00A84CD0"/>
    <w:rsid w:val="00A861CD"/>
    <w:rsid w:val="00A86346"/>
    <w:rsid w:val="00A865B6"/>
    <w:rsid w:val="00A86762"/>
    <w:rsid w:val="00A87666"/>
    <w:rsid w:val="00A87BF3"/>
    <w:rsid w:val="00A9163E"/>
    <w:rsid w:val="00A92392"/>
    <w:rsid w:val="00A94E55"/>
    <w:rsid w:val="00A9581E"/>
    <w:rsid w:val="00A95915"/>
    <w:rsid w:val="00AA0398"/>
    <w:rsid w:val="00AA3398"/>
    <w:rsid w:val="00AA40B1"/>
    <w:rsid w:val="00AA4FDA"/>
    <w:rsid w:val="00AA50EA"/>
    <w:rsid w:val="00AA565D"/>
    <w:rsid w:val="00AA6473"/>
    <w:rsid w:val="00AB0054"/>
    <w:rsid w:val="00AB0915"/>
    <w:rsid w:val="00AB3541"/>
    <w:rsid w:val="00AB387D"/>
    <w:rsid w:val="00AB3E17"/>
    <w:rsid w:val="00AB4258"/>
    <w:rsid w:val="00AB5486"/>
    <w:rsid w:val="00AB61BE"/>
    <w:rsid w:val="00AB7AA2"/>
    <w:rsid w:val="00AC0EDC"/>
    <w:rsid w:val="00AC402A"/>
    <w:rsid w:val="00AC6695"/>
    <w:rsid w:val="00AC6D35"/>
    <w:rsid w:val="00AC707B"/>
    <w:rsid w:val="00AD0259"/>
    <w:rsid w:val="00AD0EB5"/>
    <w:rsid w:val="00AD12AB"/>
    <w:rsid w:val="00AD1C5A"/>
    <w:rsid w:val="00AD472C"/>
    <w:rsid w:val="00AD5A8D"/>
    <w:rsid w:val="00AD63E9"/>
    <w:rsid w:val="00AD79B0"/>
    <w:rsid w:val="00AE204D"/>
    <w:rsid w:val="00AE230B"/>
    <w:rsid w:val="00AE36D7"/>
    <w:rsid w:val="00AE4B03"/>
    <w:rsid w:val="00AE5898"/>
    <w:rsid w:val="00AE7802"/>
    <w:rsid w:val="00AF0AE5"/>
    <w:rsid w:val="00AF277C"/>
    <w:rsid w:val="00AF4471"/>
    <w:rsid w:val="00AF4AC2"/>
    <w:rsid w:val="00AF7378"/>
    <w:rsid w:val="00B00751"/>
    <w:rsid w:val="00B0224B"/>
    <w:rsid w:val="00B02D80"/>
    <w:rsid w:val="00B02FBC"/>
    <w:rsid w:val="00B06E3C"/>
    <w:rsid w:val="00B06FB8"/>
    <w:rsid w:val="00B10CE9"/>
    <w:rsid w:val="00B112E5"/>
    <w:rsid w:val="00B119FA"/>
    <w:rsid w:val="00B1356C"/>
    <w:rsid w:val="00B13CDC"/>
    <w:rsid w:val="00B1483F"/>
    <w:rsid w:val="00B14C59"/>
    <w:rsid w:val="00B15F23"/>
    <w:rsid w:val="00B163D5"/>
    <w:rsid w:val="00B222D1"/>
    <w:rsid w:val="00B22B25"/>
    <w:rsid w:val="00B23D60"/>
    <w:rsid w:val="00B30957"/>
    <w:rsid w:val="00B30BA2"/>
    <w:rsid w:val="00B323E0"/>
    <w:rsid w:val="00B32DF2"/>
    <w:rsid w:val="00B332D2"/>
    <w:rsid w:val="00B3425F"/>
    <w:rsid w:val="00B34A08"/>
    <w:rsid w:val="00B3787F"/>
    <w:rsid w:val="00B37F5E"/>
    <w:rsid w:val="00B406AB"/>
    <w:rsid w:val="00B40DED"/>
    <w:rsid w:val="00B4164C"/>
    <w:rsid w:val="00B41767"/>
    <w:rsid w:val="00B41AAE"/>
    <w:rsid w:val="00B41C21"/>
    <w:rsid w:val="00B43DD9"/>
    <w:rsid w:val="00B44268"/>
    <w:rsid w:val="00B454A0"/>
    <w:rsid w:val="00B45F71"/>
    <w:rsid w:val="00B46D77"/>
    <w:rsid w:val="00B50255"/>
    <w:rsid w:val="00B53300"/>
    <w:rsid w:val="00B53BA2"/>
    <w:rsid w:val="00B54162"/>
    <w:rsid w:val="00B55071"/>
    <w:rsid w:val="00B55142"/>
    <w:rsid w:val="00B561BF"/>
    <w:rsid w:val="00B57D1E"/>
    <w:rsid w:val="00B6066A"/>
    <w:rsid w:val="00B6070F"/>
    <w:rsid w:val="00B60BD4"/>
    <w:rsid w:val="00B61C9E"/>
    <w:rsid w:val="00B61E40"/>
    <w:rsid w:val="00B63B62"/>
    <w:rsid w:val="00B64406"/>
    <w:rsid w:val="00B66EB6"/>
    <w:rsid w:val="00B66FCF"/>
    <w:rsid w:val="00B7055E"/>
    <w:rsid w:val="00B714EB"/>
    <w:rsid w:val="00B724CC"/>
    <w:rsid w:val="00B72B35"/>
    <w:rsid w:val="00B7683D"/>
    <w:rsid w:val="00B815EC"/>
    <w:rsid w:val="00B84B44"/>
    <w:rsid w:val="00B85937"/>
    <w:rsid w:val="00B876C5"/>
    <w:rsid w:val="00B90095"/>
    <w:rsid w:val="00B91B13"/>
    <w:rsid w:val="00B9212B"/>
    <w:rsid w:val="00B93CCE"/>
    <w:rsid w:val="00B9491E"/>
    <w:rsid w:val="00B94EF8"/>
    <w:rsid w:val="00B95F03"/>
    <w:rsid w:val="00B9672C"/>
    <w:rsid w:val="00B96FBC"/>
    <w:rsid w:val="00BA15A9"/>
    <w:rsid w:val="00BA19A8"/>
    <w:rsid w:val="00BA220A"/>
    <w:rsid w:val="00BA2818"/>
    <w:rsid w:val="00BA2CC8"/>
    <w:rsid w:val="00BA6758"/>
    <w:rsid w:val="00BA74AD"/>
    <w:rsid w:val="00BB0BC7"/>
    <w:rsid w:val="00BB4062"/>
    <w:rsid w:val="00BB4394"/>
    <w:rsid w:val="00BB5B29"/>
    <w:rsid w:val="00BB5B3C"/>
    <w:rsid w:val="00BB6231"/>
    <w:rsid w:val="00BB79DC"/>
    <w:rsid w:val="00BC14ED"/>
    <w:rsid w:val="00BC41A9"/>
    <w:rsid w:val="00BC44A1"/>
    <w:rsid w:val="00BC44C9"/>
    <w:rsid w:val="00BC6A4B"/>
    <w:rsid w:val="00BC6A93"/>
    <w:rsid w:val="00BC7D9D"/>
    <w:rsid w:val="00BD0348"/>
    <w:rsid w:val="00BD150B"/>
    <w:rsid w:val="00BD2101"/>
    <w:rsid w:val="00BD224D"/>
    <w:rsid w:val="00BD2E1C"/>
    <w:rsid w:val="00BD467E"/>
    <w:rsid w:val="00BD53D7"/>
    <w:rsid w:val="00BD7660"/>
    <w:rsid w:val="00BD7AE5"/>
    <w:rsid w:val="00BE02DF"/>
    <w:rsid w:val="00BE4650"/>
    <w:rsid w:val="00BE48AE"/>
    <w:rsid w:val="00BE66F2"/>
    <w:rsid w:val="00BE69BB"/>
    <w:rsid w:val="00BE6F32"/>
    <w:rsid w:val="00BE7024"/>
    <w:rsid w:val="00BE74DC"/>
    <w:rsid w:val="00BF1BDE"/>
    <w:rsid w:val="00BF2873"/>
    <w:rsid w:val="00BF407B"/>
    <w:rsid w:val="00BF443A"/>
    <w:rsid w:val="00BF4CD4"/>
    <w:rsid w:val="00BF7D3C"/>
    <w:rsid w:val="00BF7E95"/>
    <w:rsid w:val="00BF7EEA"/>
    <w:rsid w:val="00C01F15"/>
    <w:rsid w:val="00C020C5"/>
    <w:rsid w:val="00C02C0B"/>
    <w:rsid w:val="00C0491C"/>
    <w:rsid w:val="00C075D0"/>
    <w:rsid w:val="00C1002E"/>
    <w:rsid w:val="00C10A74"/>
    <w:rsid w:val="00C12715"/>
    <w:rsid w:val="00C127DF"/>
    <w:rsid w:val="00C12BD1"/>
    <w:rsid w:val="00C13163"/>
    <w:rsid w:val="00C14D96"/>
    <w:rsid w:val="00C163A3"/>
    <w:rsid w:val="00C16FBA"/>
    <w:rsid w:val="00C207FF"/>
    <w:rsid w:val="00C2173B"/>
    <w:rsid w:val="00C22F7C"/>
    <w:rsid w:val="00C263DA"/>
    <w:rsid w:val="00C26B2B"/>
    <w:rsid w:val="00C2782A"/>
    <w:rsid w:val="00C30138"/>
    <w:rsid w:val="00C30BD3"/>
    <w:rsid w:val="00C3229A"/>
    <w:rsid w:val="00C325CC"/>
    <w:rsid w:val="00C327EF"/>
    <w:rsid w:val="00C33761"/>
    <w:rsid w:val="00C337B0"/>
    <w:rsid w:val="00C34D5B"/>
    <w:rsid w:val="00C376F7"/>
    <w:rsid w:val="00C466DB"/>
    <w:rsid w:val="00C46D86"/>
    <w:rsid w:val="00C47351"/>
    <w:rsid w:val="00C474A5"/>
    <w:rsid w:val="00C47AF7"/>
    <w:rsid w:val="00C47DFF"/>
    <w:rsid w:val="00C5006A"/>
    <w:rsid w:val="00C50860"/>
    <w:rsid w:val="00C52DB0"/>
    <w:rsid w:val="00C52F37"/>
    <w:rsid w:val="00C536A5"/>
    <w:rsid w:val="00C54091"/>
    <w:rsid w:val="00C559B5"/>
    <w:rsid w:val="00C56E52"/>
    <w:rsid w:val="00C57D9C"/>
    <w:rsid w:val="00C626E9"/>
    <w:rsid w:val="00C6334A"/>
    <w:rsid w:val="00C6462D"/>
    <w:rsid w:val="00C64F6F"/>
    <w:rsid w:val="00C65ED8"/>
    <w:rsid w:val="00C70C4C"/>
    <w:rsid w:val="00C714AA"/>
    <w:rsid w:val="00C71C7B"/>
    <w:rsid w:val="00C721CA"/>
    <w:rsid w:val="00C75D3B"/>
    <w:rsid w:val="00C81559"/>
    <w:rsid w:val="00C833B4"/>
    <w:rsid w:val="00C84166"/>
    <w:rsid w:val="00C8478F"/>
    <w:rsid w:val="00C849AE"/>
    <w:rsid w:val="00C84E06"/>
    <w:rsid w:val="00C85235"/>
    <w:rsid w:val="00C85F96"/>
    <w:rsid w:val="00C863D2"/>
    <w:rsid w:val="00C8778F"/>
    <w:rsid w:val="00C87C28"/>
    <w:rsid w:val="00C908F7"/>
    <w:rsid w:val="00C918EF"/>
    <w:rsid w:val="00C93120"/>
    <w:rsid w:val="00C96F98"/>
    <w:rsid w:val="00C97E53"/>
    <w:rsid w:val="00CA2CBC"/>
    <w:rsid w:val="00CA61B7"/>
    <w:rsid w:val="00CA6B77"/>
    <w:rsid w:val="00CA7317"/>
    <w:rsid w:val="00CB174F"/>
    <w:rsid w:val="00CB1931"/>
    <w:rsid w:val="00CB206E"/>
    <w:rsid w:val="00CB2ABF"/>
    <w:rsid w:val="00CB4E02"/>
    <w:rsid w:val="00CB5370"/>
    <w:rsid w:val="00CB617C"/>
    <w:rsid w:val="00CB6D7F"/>
    <w:rsid w:val="00CC0C55"/>
    <w:rsid w:val="00CC2CDA"/>
    <w:rsid w:val="00CC6FD1"/>
    <w:rsid w:val="00CC7DCE"/>
    <w:rsid w:val="00CD07BE"/>
    <w:rsid w:val="00CD167E"/>
    <w:rsid w:val="00CD4404"/>
    <w:rsid w:val="00CE05C4"/>
    <w:rsid w:val="00CE1EC1"/>
    <w:rsid w:val="00CE2755"/>
    <w:rsid w:val="00CE3537"/>
    <w:rsid w:val="00CE3BEA"/>
    <w:rsid w:val="00CE51F6"/>
    <w:rsid w:val="00CE62B4"/>
    <w:rsid w:val="00CE65C4"/>
    <w:rsid w:val="00CE6CDF"/>
    <w:rsid w:val="00CE6DEC"/>
    <w:rsid w:val="00CE7D82"/>
    <w:rsid w:val="00CF0F44"/>
    <w:rsid w:val="00CF2C57"/>
    <w:rsid w:val="00CF2E35"/>
    <w:rsid w:val="00CF40E2"/>
    <w:rsid w:val="00CF76BF"/>
    <w:rsid w:val="00D005FA"/>
    <w:rsid w:val="00D01739"/>
    <w:rsid w:val="00D020F9"/>
    <w:rsid w:val="00D0675C"/>
    <w:rsid w:val="00D10442"/>
    <w:rsid w:val="00D1055E"/>
    <w:rsid w:val="00D1393A"/>
    <w:rsid w:val="00D13A13"/>
    <w:rsid w:val="00D13AAE"/>
    <w:rsid w:val="00D14DB1"/>
    <w:rsid w:val="00D172FA"/>
    <w:rsid w:val="00D2054D"/>
    <w:rsid w:val="00D225BB"/>
    <w:rsid w:val="00D22762"/>
    <w:rsid w:val="00D22C30"/>
    <w:rsid w:val="00D238EE"/>
    <w:rsid w:val="00D2534E"/>
    <w:rsid w:val="00D27640"/>
    <w:rsid w:val="00D27C4C"/>
    <w:rsid w:val="00D27CEC"/>
    <w:rsid w:val="00D31848"/>
    <w:rsid w:val="00D31DA7"/>
    <w:rsid w:val="00D3215C"/>
    <w:rsid w:val="00D3382A"/>
    <w:rsid w:val="00D34CC6"/>
    <w:rsid w:val="00D35B3E"/>
    <w:rsid w:val="00D36E38"/>
    <w:rsid w:val="00D37DD8"/>
    <w:rsid w:val="00D40172"/>
    <w:rsid w:val="00D4047D"/>
    <w:rsid w:val="00D41110"/>
    <w:rsid w:val="00D425A0"/>
    <w:rsid w:val="00D428F3"/>
    <w:rsid w:val="00D42C40"/>
    <w:rsid w:val="00D446F5"/>
    <w:rsid w:val="00D449E1"/>
    <w:rsid w:val="00D505BB"/>
    <w:rsid w:val="00D50E1C"/>
    <w:rsid w:val="00D52ED7"/>
    <w:rsid w:val="00D52FA3"/>
    <w:rsid w:val="00D53F23"/>
    <w:rsid w:val="00D55877"/>
    <w:rsid w:val="00D56D39"/>
    <w:rsid w:val="00D56FC1"/>
    <w:rsid w:val="00D60BA3"/>
    <w:rsid w:val="00D6267D"/>
    <w:rsid w:val="00D64C12"/>
    <w:rsid w:val="00D65E97"/>
    <w:rsid w:val="00D66E4B"/>
    <w:rsid w:val="00D67DD3"/>
    <w:rsid w:val="00D705CB"/>
    <w:rsid w:val="00D7095C"/>
    <w:rsid w:val="00D70A6A"/>
    <w:rsid w:val="00D719AD"/>
    <w:rsid w:val="00D72700"/>
    <w:rsid w:val="00D72910"/>
    <w:rsid w:val="00D72D52"/>
    <w:rsid w:val="00D744E9"/>
    <w:rsid w:val="00D7465A"/>
    <w:rsid w:val="00D75C2A"/>
    <w:rsid w:val="00D76878"/>
    <w:rsid w:val="00D76B07"/>
    <w:rsid w:val="00D85524"/>
    <w:rsid w:val="00D86CCC"/>
    <w:rsid w:val="00D91269"/>
    <w:rsid w:val="00D924F5"/>
    <w:rsid w:val="00D930AA"/>
    <w:rsid w:val="00D932B3"/>
    <w:rsid w:val="00D94DFA"/>
    <w:rsid w:val="00D9592A"/>
    <w:rsid w:val="00D972F3"/>
    <w:rsid w:val="00D97CA4"/>
    <w:rsid w:val="00DA016D"/>
    <w:rsid w:val="00DA0F9E"/>
    <w:rsid w:val="00DA1293"/>
    <w:rsid w:val="00DA1E72"/>
    <w:rsid w:val="00DA1F8B"/>
    <w:rsid w:val="00DA337F"/>
    <w:rsid w:val="00DA3E8D"/>
    <w:rsid w:val="00DA40AF"/>
    <w:rsid w:val="00DA452D"/>
    <w:rsid w:val="00DA4A71"/>
    <w:rsid w:val="00DA5C10"/>
    <w:rsid w:val="00DA7E5F"/>
    <w:rsid w:val="00DA7FD3"/>
    <w:rsid w:val="00DB26D7"/>
    <w:rsid w:val="00DB2CCD"/>
    <w:rsid w:val="00DB351D"/>
    <w:rsid w:val="00DB4DD3"/>
    <w:rsid w:val="00DB5970"/>
    <w:rsid w:val="00DB658E"/>
    <w:rsid w:val="00DB6B9F"/>
    <w:rsid w:val="00DC12E4"/>
    <w:rsid w:val="00DC1C22"/>
    <w:rsid w:val="00DC1F69"/>
    <w:rsid w:val="00DC26FC"/>
    <w:rsid w:val="00DC2D27"/>
    <w:rsid w:val="00DC33BC"/>
    <w:rsid w:val="00DC5330"/>
    <w:rsid w:val="00DC55DD"/>
    <w:rsid w:val="00DC598B"/>
    <w:rsid w:val="00DC69D8"/>
    <w:rsid w:val="00DD1833"/>
    <w:rsid w:val="00DD1FF9"/>
    <w:rsid w:val="00DD33DD"/>
    <w:rsid w:val="00DD3A64"/>
    <w:rsid w:val="00DE0EB9"/>
    <w:rsid w:val="00DE3194"/>
    <w:rsid w:val="00DE5A45"/>
    <w:rsid w:val="00DF2BA5"/>
    <w:rsid w:val="00DF412A"/>
    <w:rsid w:val="00DF44E3"/>
    <w:rsid w:val="00DF45D5"/>
    <w:rsid w:val="00DF6A46"/>
    <w:rsid w:val="00DF6B4B"/>
    <w:rsid w:val="00DF6CD7"/>
    <w:rsid w:val="00DF7E22"/>
    <w:rsid w:val="00E0051E"/>
    <w:rsid w:val="00E01241"/>
    <w:rsid w:val="00E029BA"/>
    <w:rsid w:val="00E03B10"/>
    <w:rsid w:val="00E054ED"/>
    <w:rsid w:val="00E065C2"/>
    <w:rsid w:val="00E065EB"/>
    <w:rsid w:val="00E06BDB"/>
    <w:rsid w:val="00E101C1"/>
    <w:rsid w:val="00E11C8F"/>
    <w:rsid w:val="00E12D1F"/>
    <w:rsid w:val="00E12EDC"/>
    <w:rsid w:val="00E138AF"/>
    <w:rsid w:val="00E16DEF"/>
    <w:rsid w:val="00E16F82"/>
    <w:rsid w:val="00E173AA"/>
    <w:rsid w:val="00E2043F"/>
    <w:rsid w:val="00E209FE"/>
    <w:rsid w:val="00E212D4"/>
    <w:rsid w:val="00E21583"/>
    <w:rsid w:val="00E22D76"/>
    <w:rsid w:val="00E24481"/>
    <w:rsid w:val="00E24C1B"/>
    <w:rsid w:val="00E24D1F"/>
    <w:rsid w:val="00E25A4F"/>
    <w:rsid w:val="00E27519"/>
    <w:rsid w:val="00E2782B"/>
    <w:rsid w:val="00E3000C"/>
    <w:rsid w:val="00E302C8"/>
    <w:rsid w:val="00E3080A"/>
    <w:rsid w:val="00E31F04"/>
    <w:rsid w:val="00E340EB"/>
    <w:rsid w:val="00E40434"/>
    <w:rsid w:val="00E41A22"/>
    <w:rsid w:val="00E425EA"/>
    <w:rsid w:val="00E42DA2"/>
    <w:rsid w:val="00E43815"/>
    <w:rsid w:val="00E44C33"/>
    <w:rsid w:val="00E459E3"/>
    <w:rsid w:val="00E46A78"/>
    <w:rsid w:val="00E4785B"/>
    <w:rsid w:val="00E4789F"/>
    <w:rsid w:val="00E47ACF"/>
    <w:rsid w:val="00E5066C"/>
    <w:rsid w:val="00E51ED9"/>
    <w:rsid w:val="00E537B8"/>
    <w:rsid w:val="00E539D0"/>
    <w:rsid w:val="00E5417D"/>
    <w:rsid w:val="00E552BA"/>
    <w:rsid w:val="00E57033"/>
    <w:rsid w:val="00E60792"/>
    <w:rsid w:val="00E61675"/>
    <w:rsid w:val="00E63ABE"/>
    <w:rsid w:val="00E64E07"/>
    <w:rsid w:val="00E64EC0"/>
    <w:rsid w:val="00E66941"/>
    <w:rsid w:val="00E67E18"/>
    <w:rsid w:val="00E70CC8"/>
    <w:rsid w:val="00E725D2"/>
    <w:rsid w:val="00E73061"/>
    <w:rsid w:val="00E73399"/>
    <w:rsid w:val="00E73E05"/>
    <w:rsid w:val="00E75B17"/>
    <w:rsid w:val="00E75DF8"/>
    <w:rsid w:val="00E80680"/>
    <w:rsid w:val="00E82197"/>
    <w:rsid w:val="00E83750"/>
    <w:rsid w:val="00E8394C"/>
    <w:rsid w:val="00E83A01"/>
    <w:rsid w:val="00E83C92"/>
    <w:rsid w:val="00E854B0"/>
    <w:rsid w:val="00E87134"/>
    <w:rsid w:val="00E871F1"/>
    <w:rsid w:val="00E874E1"/>
    <w:rsid w:val="00E902D5"/>
    <w:rsid w:val="00E914DB"/>
    <w:rsid w:val="00E91E08"/>
    <w:rsid w:val="00E92883"/>
    <w:rsid w:val="00E934E5"/>
    <w:rsid w:val="00E9461D"/>
    <w:rsid w:val="00E95A00"/>
    <w:rsid w:val="00E9721E"/>
    <w:rsid w:val="00EA067A"/>
    <w:rsid w:val="00EA1A68"/>
    <w:rsid w:val="00EA3177"/>
    <w:rsid w:val="00EA47D6"/>
    <w:rsid w:val="00EA535B"/>
    <w:rsid w:val="00EA5614"/>
    <w:rsid w:val="00EA640D"/>
    <w:rsid w:val="00EA678D"/>
    <w:rsid w:val="00EB1C47"/>
    <w:rsid w:val="00EB1FE1"/>
    <w:rsid w:val="00EB3610"/>
    <w:rsid w:val="00EB6235"/>
    <w:rsid w:val="00EB6D16"/>
    <w:rsid w:val="00EB78CE"/>
    <w:rsid w:val="00EB7B97"/>
    <w:rsid w:val="00EC33EF"/>
    <w:rsid w:val="00EC3955"/>
    <w:rsid w:val="00EC4441"/>
    <w:rsid w:val="00EC4BE6"/>
    <w:rsid w:val="00EC65CD"/>
    <w:rsid w:val="00EC6B9A"/>
    <w:rsid w:val="00EC7C3C"/>
    <w:rsid w:val="00ED0147"/>
    <w:rsid w:val="00ED0B5D"/>
    <w:rsid w:val="00ED2E84"/>
    <w:rsid w:val="00ED3F11"/>
    <w:rsid w:val="00ED7261"/>
    <w:rsid w:val="00ED74D7"/>
    <w:rsid w:val="00ED784C"/>
    <w:rsid w:val="00EF05CD"/>
    <w:rsid w:val="00EF073F"/>
    <w:rsid w:val="00EF42FA"/>
    <w:rsid w:val="00EF64DB"/>
    <w:rsid w:val="00EF6512"/>
    <w:rsid w:val="00EF745E"/>
    <w:rsid w:val="00EF755D"/>
    <w:rsid w:val="00EF777A"/>
    <w:rsid w:val="00F007B1"/>
    <w:rsid w:val="00F02024"/>
    <w:rsid w:val="00F02C48"/>
    <w:rsid w:val="00F03DFF"/>
    <w:rsid w:val="00F053E8"/>
    <w:rsid w:val="00F06145"/>
    <w:rsid w:val="00F107A1"/>
    <w:rsid w:val="00F108D8"/>
    <w:rsid w:val="00F10C85"/>
    <w:rsid w:val="00F11245"/>
    <w:rsid w:val="00F11A10"/>
    <w:rsid w:val="00F12DA9"/>
    <w:rsid w:val="00F1349E"/>
    <w:rsid w:val="00F1401B"/>
    <w:rsid w:val="00F14F8E"/>
    <w:rsid w:val="00F14F9D"/>
    <w:rsid w:val="00F15231"/>
    <w:rsid w:val="00F15EBE"/>
    <w:rsid w:val="00F1628B"/>
    <w:rsid w:val="00F16907"/>
    <w:rsid w:val="00F210E8"/>
    <w:rsid w:val="00F2161F"/>
    <w:rsid w:val="00F22D8E"/>
    <w:rsid w:val="00F2394C"/>
    <w:rsid w:val="00F239C2"/>
    <w:rsid w:val="00F33991"/>
    <w:rsid w:val="00F351A7"/>
    <w:rsid w:val="00F35D66"/>
    <w:rsid w:val="00F365E2"/>
    <w:rsid w:val="00F36BAE"/>
    <w:rsid w:val="00F36EC4"/>
    <w:rsid w:val="00F422E7"/>
    <w:rsid w:val="00F4315F"/>
    <w:rsid w:val="00F434EE"/>
    <w:rsid w:val="00F43B16"/>
    <w:rsid w:val="00F46C2C"/>
    <w:rsid w:val="00F503F3"/>
    <w:rsid w:val="00F50FC4"/>
    <w:rsid w:val="00F51049"/>
    <w:rsid w:val="00F5220D"/>
    <w:rsid w:val="00F52A96"/>
    <w:rsid w:val="00F5380C"/>
    <w:rsid w:val="00F53FDA"/>
    <w:rsid w:val="00F547AE"/>
    <w:rsid w:val="00F558BC"/>
    <w:rsid w:val="00F5642B"/>
    <w:rsid w:val="00F57194"/>
    <w:rsid w:val="00F57790"/>
    <w:rsid w:val="00F578E7"/>
    <w:rsid w:val="00F60D8E"/>
    <w:rsid w:val="00F613D0"/>
    <w:rsid w:val="00F621F0"/>
    <w:rsid w:val="00F62870"/>
    <w:rsid w:val="00F63582"/>
    <w:rsid w:val="00F63ABA"/>
    <w:rsid w:val="00F70B07"/>
    <w:rsid w:val="00F70D10"/>
    <w:rsid w:val="00F71BBA"/>
    <w:rsid w:val="00F72151"/>
    <w:rsid w:val="00F7270E"/>
    <w:rsid w:val="00F72F37"/>
    <w:rsid w:val="00F74D7B"/>
    <w:rsid w:val="00F767E1"/>
    <w:rsid w:val="00F815E3"/>
    <w:rsid w:val="00F819A7"/>
    <w:rsid w:val="00F81EC8"/>
    <w:rsid w:val="00F81FB2"/>
    <w:rsid w:val="00F82C86"/>
    <w:rsid w:val="00F8399E"/>
    <w:rsid w:val="00F86E63"/>
    <w:rsid w:val="00F904A9"/>
    <w:rsid w:val="00F923A9"/>
    <w:rsid w:val="00F924EE"/>
    <w:rsid w:val="00F92D8B"/>
    <w:rsid w:val="00F93052"/>
    <w:rsid w:val="00F93537"/>
    <w:rsid w:val="00F935E5"/>
    <w:rsid w:val="00F935FF"/>
    <w:rsid w:val="00F944FA"/>
    <w:rsid w:val="00F94625"/>
    <w:rsid w:val="00F94CE6"/>
    <w:rsid w:val="00F97251"/>
    <w:rsid w:val="00F97827"/>
    <w:rsid w:val="00FA09FE"/>
    <w:rsid w:val="00FA32FA"/>
    <w:rsid w:val="00FA37BD"/>
    <w:rsid w:val="00FA43A9"/>
    <w:rsid w:val="00FA43AF"/>
    <w:rsid w:val="00FA477F"/>
    <w:rsid w:val="00FA4CFF"/>
    <w:rsid w:val="00FA5AB5"/>
    <w:rsid w:val="00FA5EA5"/>
    <w:rsid w:val="00FA757A"/>
    <w:rsid w:val="00FB5086"/>
    <w:rsid w:val="00FB5C93"/>
    <w:rsid w:val="00FB7E15"/>
    <w:rsid w:val="00FC1C4C"/>
    <w:rsid w:val="00FC1DD0"/>
    <w:rsid w:val="00FC4BFE"/>
    <w:rsid w:val="00FC4FE4"/>
    <w:rsid w:val="00FC5109"/>
    <w:rsid w:val="00FC6FAF"/>
    <w:rsid w:val="00FC77B0"/>
    <w:rsid w:val="00FC7A28"/>
    <w:rsid w:val="00FD0849"/>
    <w:rsid w:val="00FD1F04"/>
    <w:rsid w:val="00FD26C7"/>
    <w:rsid w:val="00FD38E3"/>
    <w:rsid w:val="00FD625D"/>
    <w:rsid w:val="00FD66E0"/>
    <w:rsid w:val="00FD709A"/>
    <w:rsid w:val="00FD7D1A"/>
    <w:rsid w:val="00FE1822"/>
    <w:rsid w:val="00FE2941"/>
    <w:rsid w:val="00FE31D0"/>
    <w:rsid w:val="00FE3BDA"/>
    <w:rsid w:val="00FE6628"/>
    <w:rsid w:val="00FF03A8"/>
    <w:rsid w:val="00FF1147"/>
    <w:rsid w:val="00FF210B"/>
    <w:rsid w:val="00FF3B03"/>
    <w:rsid w:val="00FF3E21"/>
    <w:rsid w:val="00FF4CE9"/>
    <w:rsid w:val="00FF550F"/>
    <w:rsid w:val="00FF6FCA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2E28C"/>
  <w15:chartTrackingRefBased/>
  <w15:docId w15:val="{7CA0544E-4815-4760-8AC4-35AB7AC4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035"/>
    <w:pPr>
      <w:spacing w:after="0" w:line="240" w:lineRule="auto"/>
    </w:pPr>
    <w:rPr>
      <w:rFonts w:ascii="Arial" w:eastAsiaTheme="minorEastAsia" w:hAnsi="Arial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161F"/>
    <w:pPr>
      <w:keepNext/>
      <w:keepLines/>
      <w:numPr>
        <w:numId w:val="31"/>
      </w:numPr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61F"/>
    <w:pPr>
      <w:keepNext/>
      <w:keepLines/>
      <w:numPr>
        <w:ilvl w:val="1"/>
        <w:numId w:val="31"/>
      </w:numPr>
      <w:spacing w:after="240" w:line="276" w:lineRule="auto"/>
      <w:ind w:left="578" w:hanging="578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3964"/>
    <w:pPr>
      <w:keepNext/>
      <w:keepLines/>
      <w:numPr>
        <w:numId w:val="32"/>
      </w:numPr>
      <w:spacing w:line="276" w:lineRule="auto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3964"/>
    <w:pPr>
      <w:keepNext/>
      <w:keepLines/>
      <w:numPr>
        <w:numId w:val="43"/>
      </w:numPr>
      <w:spacing w:line="276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61F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61F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61F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61F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61F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161F"/>
    <w:rPr>
      <w:rFonts w:ascii="Arial" w:eastAsiaTheme="majorEastAsia" w:hAnsi="Arial" w:cstheme="majorBidi"/>
      <w:b/>
      <w:sz w:val="32"/>
      <w:szCs w:val="32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F2161F"/>
    <w:rPr>
      <w:rFonts w:ascii="Arial" w:eastAsiaTheme="majorEastAsia" w:hAnsi="Arial" w:cstheme="majorBidi"/>
      <w:b/>
      <w:sz w:val="28"/>
      <w:szCs w:val="26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343964"/>
    <w:rPr>
      <w:rFonts w:ascii="Arial" w:eastAsiaTheme="majorEastAsia" w:hAnsi="Arial" w:cstheme="majorBidi"/>
      <w:b/>
      <w:sz w:val="24"/>
      <w:szCs w:val="24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C41A9"/>
    <w:pPr>
      <w:contextualSpacing/>
      <w:jc w:val="center"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1A9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FootnoteText">
    <w:name w:val="footnote text"/>
    <w:basedOn w:val="Normal"/>
    <w:link w:val="FootnoteTextChar"/>
    <w:uiPriority w:val="99"/>
    <w:unhideWhenUsed/>
    <w:rsid w:val="00EA1A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1A6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A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1A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A6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A1A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A68"/>
    <w:rPr>
      <w:rFonts w:ascii="Arial" w:hAnsi="Arial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E93"/>
    <w:pPr>
      <w:numPr>
        <w:ilvl w:val="1"/>
      </w:numPr>
      <w:jc w:val="center"/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91E93"/>
    <w:rPr>
      <w:rFonts w:ascii="Arial" w:eastAsiaTheme="minorEastAsia" w:hAnsi="Arial"/>
      <w:color w:val="5A5A5A" w:themeColor="text1" w:themeTint="A5"/>
      <w:spacing w:val="15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43964"/>
    <w:rPr>
      <w:rFonts w:ascii="Arial" w:eastAsiaTheme="majorEastAsia" w:hAnsi="Arial" w:cstheme="majorBidi"/>
      <w:b/>
      <w:iCs/>
      <w:sz w:val="24"/>
      <w:szCs w:val="24"/>
      <w:lang w:val="en-IE"/>
    </w:rPr>
  </w:style>
  <w:style w:type="paragraph" w:customStyle="1" w:styleId="NoParagraphStyle">
    <w:name w:val="[No Paragraph Style]"/>
    <w:rsid w:val="00A2703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035"/>
    <w:rPr>
      <w:rFonts w:ascii="Lucida Grande" w:eastAsiaTheme="minorEastAsia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2703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035"/>
    <w:rPr>
      <w:color w:val="0000FF"/>
      <w:u w:val="single"/>
    </w:rPr>
  </w:style>
  <w:style w:type="character" w:styleId="CommentReference">
    <w:name w:val="annotation reference"/>
    <w:uiPriority w:val="99"/>
    <w:semiHidden/>
    <w:rsid w:val="00A2703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27035"/>
    <w:pPr>
      <w:spacing w:after="160"/>
    </w:pPr>
    <w:rPr>
      <w:rFonts w:ascii="Calibri" w:eastAsia="Calibri" w:hAnsi="Calibri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035"/>
    <w:rPr>
      <w:rFonts w:ascii="Calibri" w:eastAsia="Calibri" w:hAnsi="Calibri" w:cs="Times New Roman"/>
      <w:sz w:val="20"/>
      <w:szCs w:val="20"/>
      <w:lang w:eastAsia="ja-JP"/>
    </w:rPr>
  </w:style>
  <w:style w:type="table" w:styleId="LightList-Accent1">
    <w:name w:val="Light List Accent 1"/>
    <w:basedOn w:val="TableNormal"/>
    <w:uiPriority w:val="61"/>
    <w:rsid w:val="00A27035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035"/>
    <w:pPr>
      <w:spacing w:after="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035"/>
    <w:rPr>
      <w:rFonts w:ascii="Calibri" w:eastAsiaTheme="minorEastAsia" w:hAnsi="Calibri" w:cs="Times New Roman"/>
      <w:b/>
      <w:bCs/>
      <w:sz w:val="20"/>
      <w:szCs w:val="20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27035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27035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7035"/>
    <w:rPr>
      <w:rFonts w:ascii="Lucida Grande" w:eastAsiaTheme="minorEastAsia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A2703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703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27035"/>
    <w:pPr>
      <w:spacing w:line="259" w:lineRule="auto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429A4"/>
    <w:pPr>
      <w:tabs>
        <w:tab w:val="left" w:pos="660"/>
        <w:tab w:val="right" w:leader="dot" w:pos="9016"/>
      </w:tabs>
      <w:spacing w:after="100" w:line="259" w:lineRule="auto"/>
      <w:ind w:left="216"/>
      <w:outlineLvl w:val="0"/>
    </w:pPr>
    <w:rPr>
      <w:rFonts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340602"/>
    <w:pPr>
      <w:tabs>
        <w:tab w:val="left" w:pos="660"/>
        <w:tab w:val="right" w:leader="dot" w:pos="8675"/>
      </w:tabs>
      <w:spacing w:after="100" w:line="259" w:lineRule="auto"/>
      <w:ind w:right="373"/>
      <w:outlineLvl w:val="0"/>
    </w:pPr>
    <w:rPr>
      <w:rFonts w:cs="Arial"/>
      <w:sz w:val="2"/>
      <w:szCs w:val="2"/>
    </w:rPr>
  </w:style>
  <w:style w:type="paragraph" w:styleId="TOC3">
    <w:name w:val="toc 3"/>
    <w:basedOn w:val="Normal"/>
    <w:next w:val="Normal"/>
    <w:autoRedefine/>
    <w:uiPriority w:val="39"/>
    <w:unhideWhenUsed/>
    <w:rsid w:val="00A27035"/>
    <w:pPr>
      <w:spacing w:after="100" w:line="259" w:lineRule="auto"/>
      <w:ind w:left="446"/>
    </w:pPr>
    <w:rPr>
      <w:rFonts w:cs="Times New Roman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A2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ParagraphStyle"/>
    <w:qFormat/>
    <w:rsid w:val="00A27035"/>
    <w:pPr>
      <w:numPr>
        <w:numId w:val="1"/>
      </w:numPr>
      <w:suppressAutoHyphens/>
      <w:spacing w:after="120" w:line="276" w:lineRule="auto"/>
      <w:ind w:left="714" w:hanging="357"/>
      <w:outlineLvl w:val="0"/>
    </w:pPr>
    <w:rPr>
      <w:rFonts w:ascii="Arial" w:hAnsi="Arial" w:cs="Arial"/>
      <w:b/>
      <w:bCs/>
      <w:color w:val="0000A8"/>
      <w:sz w:val="32"/>
      <w:szCs w:val="32"/>
      <w:lang w:val="en-IE"/>
    </w:rPr>
  </w:style>
  <w:style w:type="paragraph" w:customStyle="1" w:styleId="Style2">
    <w:name w:val="Style2"/>
    <w:basedOn w:val="NoParagraphStyle"/>
    <w:qFormat/>
    <w:rsid w:val="00A27035"/>
    <w:pPr>
      <w:numPr>
        <w:numId w:val="2"/>
      </w:numPr>
      <w:suppressAutoHyphens/>
      <w:spacing w:after="120" w:line="276" w:lineRule="auto"/>
      <w:ind w:left="714" w:hanging="357"/>
      <w:outlineLvl w:val="0"/>
    </w:pPr>
    <w:rPr>
      <w:rFonts w:ascii="Arial" w:hAnsi="Arial" w:cs="Arial"/>
      <w:b/>
      <w:bCs/>
      <w:color w:val="0000A8"/>
      <w:sz w:val="32"/>
      <w:szCs w:val="32"/>
    </w:rPr>
  </w:style>
  <w:style w:type="paragraph" w:customStyle="1" w:styleId="Style3">
    <w:name w:val="Style3"/>
    <w:basedOn w:val="NoParagraphStyle"/>
    <w:qFormat/>
    <w:rsid w:val="00A27035"/>
    <w:pPr>
      <w:numPr>
        <w:numId w:val="3"/>
      </w:numPr>
      <w:suppressAutoHyphens/>
      <w:spacing w:after="120" w:line="276" w:lineRule="auto"/>
      <w:ind w:left="714" w:hanging="357"/>
      <w:outlineLvl w:val="0"/>
    </w:pPr>
    <w:rPr>
      <w:rFonts w:ascii="Arial" w:hAnsi="Arial" w:cs="Arial"/>
      <w:b/>
      <w:bCs/>
      <w:color w:val="0000A8"/>
      <w:sz w:val="32"/>
      <w:szCs w:val="32"/>
    </w:rPr>
  </w:style>
  <w:style w:type="table" w:customStyle="1" w:styleId="TableGrid2">
    <w:name w:val="Table Grid2"/>
    <w:basedOn w:val="TableNormal"/>
    <w:next w:val="TableGrid"/>
    <w:uiPriority w:val="59"/>
    <w:rsid w:val="00A2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A27035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A27035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27035"/>
    <w:pPr>
      <w:spacing w:after="100" w:line="259" w:lineRule="auto"/>
      <w:ind w:left="660"/>
    </w:pPr>
    <w:rPr>
      <w:rFonts w:asciiTheme="minorHAnsi" w:hAnsiTheme="minorHAnsi"/>
      <w:sz w:val="22"/>
      <w:szCs w:val="22"/>
      <w:lang w:eastAsia="en-IE"/>
    </w:rPr>
  </w:style>
  <w:style w:type="paragraph" w:styleId="TOC5">
    <w:name w:val="toc 5"/>
    <w:basedOn w:val="Normal"/>
    <w:next w:val="Normal"/>
    <w:autoRedefine/>
    <w:uiPriority w:val="39"/>
    <w:unhideWhenUsed/>
    <w:rsid w:val="00A27035"/>
    <w:pPr>
      <w:spacing w:after="100" w:line="259" w:lineRule="auto"/>
      <w:ind w:left="880"/>
    </w:pPr>
    <w:rPr>
      <w:rFonts w:asciiTheme="minorHAnsi" w:hAnsiTheme="minorHAnsi"/>
      <w:sz w:val="22"/>
      <w:szCs w:val="22"/>
      <w:lang w:eastAsia="en-IE"/>
    </w:rPr>
  </w:style>
  <w:style w:type="paragraph" w:styleId="TOC6">
    <w:name w:val="toc 6"/>
    <w:basedOn w:val="Normal"/>
    <w:next w:val="Normal"/>
    <w:autoRedefine/>
    <w:uiPriority w:val="39"/>
    <w:unhideWhenUsed/>
    <w:rsid w:val="00A27035"/>
    <w:pPr>
      <w:spacing w:after="100" w:line="259" w:lineRule="auto"/>
      <w:ind w:left="1100"/>
    </w:pPr>
    <w:rPr>
      <w:rFonts w:asciiTheme="minorHAnsi" w:hAnsiTheme="minorHAnsi"/>
      <w:sz w:val="22"/>
      <w:szCs w:val="22"/>
      <w:lang w:eastAsia="en-IE"/>
    </w:rPr>
  </w:style>
  <w:style w:type="paragraph" w:styleId="TOC7">
    <w:name w:val="toc 7"/>
    <w:basedOn w:val="Normal"/>
    <w:next w:val="Normal"/>
    <w:autoRedefine/>
    <w:uiPriority w:val="39"/>
    <w:unhideWhenUsed/>
    <w:rsid w:val="00A27035"/>
    <w:pPr>
      <w:spacing w:after="100" w:line="259" w:lineRule="auto"/>
      <w:ind w:left="1320"/>
    </w:pPr>
    <w:rPr>
      <w:rFonts w:asciiTheme="minorHAnsi" w:hAnsiTheme="minorHAnsi"/>
      <w:sz w:val="22"/>
      <w:szCs w:val="22"/>
      <w:lang w:eastAsia="en-IE"/>
    </w:rPr>
  </w:style>
  <w:style w:type="paragraph" w:styleId="TOC8">
    <w:name w:val="toc 8"/>
    <w:basedOn w:val="Normal"/>
    <w:next w:val="Normal"/>
    <w:autoRedefine/>
    <w:uiPriority w:val="39"/>
    <w:unhideWhenUsed/>
    <w:rsid w:val="00A27035"/>
    <w:pPr>
      <w:spacing w:after="100" w:line="259" w:lineRule="auto"/>
      <w:ind w:left="1540"/>
    </w:pPr>
    <w:rPr>
      <w:rFonts w:asciiTheme="minorHAnsi" w:hAnsiTheme="minorHAnsi"/>
      <w:sz w:val="22"/>
      <w:szCs w:val="22"/>
      <w:lang w:eastAsia="en-IE"/>
    </w:rPr>
  </w:style>
  <w:style w:type="paragraph" w:styleId="TOC9">
    <w:name w:val="toc 9"/>
    <w:basedOn w:val="Normal"/>
    <w:next w:val="Normal"/>
    <w:autoRedefine/>
    <w:uiPriority w:val="39"/>
    <w:unhideWhenUsed/>
    <w:rsid w:val="00A27035"/>
    <w:pPr>
      <w:spacing w:after="100" w:line="259" w:lineRule="auto"/>
      <w:ind w:left="1760"/>
    </w:pPr>
    <w:rPr>
      <w:rFonts w:asciiTheme="minorHAnsi" w:hAnsiTheme="minorHAnsi"/>
      <w:sz w:val="22"/>
      <w:szCs w:val="22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218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f0">
    <w:name w:val="pf0"/>
    <w:basedOn w:val="Normal"/>
    <w:rsid w:val="00D14D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D14DB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14DB1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D705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61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6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6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6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6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177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195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5127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413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984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019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2738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398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10307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500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437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280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227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8080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277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696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712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898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585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471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327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221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133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261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362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231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1349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602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639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781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7808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813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129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56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501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4814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016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116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868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703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719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220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135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3430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647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641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565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127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769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3614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4294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117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010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9714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75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744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611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361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8556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775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9930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526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463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10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5171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266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1044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015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620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181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442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708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pensionsauthority.ie/en/trustees_registered_administrators/defined_benefit_financial_risk_measu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7E66-A673-4C77-92B5-0425AE34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Kennedy (Pensions Authority)</dc:creator>
  <cp:keywords/>
  <dc:description/>
  <cp:lastModifiedBy>Aideen Bugler (Pensions Authority)</cp:lastModifiedBy>
  <cp:revision>4</cp:revision>
  <cp:lastPrinted>2023-10-10T13:35:00Z</cp:lastPrinted>
  <dcterms:created xsi:type="dcterms:W3CDTF">2026-04-22T14:46:00Z</dcterms:created>
  <dcterms:modified xsi:type="dcterms:W3CDTF">2026-04-22T14:52:00Z</dcterms:modified>
</cp:coreProperties>
</file>