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59102" w14:textId="77777777" w:rsidR="0039017F" w:rsidRDefault="0039017F" w:rsidP="005E210A">
      <w:pPr>
        <w:pStyle w:val="Heading1"/>
        <w:numPr>
          <w:ilvl w:val="0"/>
          <w:numId w:val="0"/>
        </w:numPr>
        <w:ind w:left="432"/>
        <w:jc w:val="center"/>
      </w:pPr>
    </w:p>
    <w:p w14:paraId="2128E27B" w14:textId="77777777" w:rsidR="0039017F" w:rsidRDefault="0039017F" w:rsidP="005E210A">
      <w:pPr>
        <w:pStyle w:val="Heading1"/>
        <w:numPr>
          <w:ilvl w:val="0"/>
          <w:numId w:val="0"/>
        </w:numPr>
        <w:ind w:left="432"/>
        <w:jc w:val="center"/>
      </w:pPr>
    </w:p>
    <w:p w14:paraId="6D94FDB5" w14:textId="77777777" w:rsidR="0039017F" w:rsidRDefault="0039017F" w:rsidP="005E210A">
      <w:pPr>
        <w:pStyle w:val="Heading1"/>
        <w:numPr>
          <w:ilvl w:val="0"/>
          <w:numId w:val="0"/>
        </w:numPr>
        <w:ind w:left="432"/>
        <w:jc w:val="center"/>
      </w:pPr>
    </w:p>
    <w:p w14:paraId="3587BA57" w14:textId="77777777" w:rsidR="0039017F" w:rsidRDefault="0039017F" w:rsidP="005E210A">
      <w:pPr>
        <w:pStyle w:val="Heading1"/>
        <w:numPr>
          <w:ilvl w:val="0"/>
          <w:numId w:val="0"/>
        </w:numPr>
        <w:ind w:left="432"/>
        <w:jc w:val="center"/>
      </w:pPr>
    </w:p>
    <w:p w14:paraId="4C261314" w14:textId="77777777" w:rsidR="0039017F" w:rsidRDefault="0039017F" w:rsidP="005E210A">
      <w:pPr>
        <w:pStyle w:val="Heading1"/>
        <w:numPr>
          <w:ilvl w:val="0"/>
          <w:numId w:val="0"/>
        </w:numPr>
        <w:ind w:left="432"/>
        <w:jc w:val="center"/>
      </w:pPr>
    </w:p>
    <w:p w14:paraId="5DA3F597" w14:textId="77777777" w:rsidR="0039017F" w:rsidRDefault="0039017F" w:rsidP="005E210A">
      <w:pPr>
        <w:pStyle w:val="Heading1"/>
        <w:numPr>
          <w:ilvl w:val="0"/>
          <w:numId w:val="0"/>
        </w:numPr>
        <w:ind w:left="432"/>
        <w:jc w:val="center"/>
      </w:pPr>
    </w:p>
    <w:p w14:paraId="1A47105F" w14:textId="77777777" w:rsidR="0039017F" w:rsidRDefault="0039017F" w:rsidP="005E210A">
      <w:pPr>
        <w:pStyle w:val="Heading1"/>
        <w:numPr>
          <w:ilvl w:val="0"/>
          <w:numId w:val="0"/>
        </w:numPr>
        <w:ind w:left="432"/>
        <w:jc w:val="center"/>
      </w:pPr>
    </w:p>
    <w:p w14:paraId="30CF5526" w14:textId="27645DBC" w:rsidR="00950C95" w:rsidRDefault="00CF6DF9" w:rsidP="0039017F">
      <w:pPr>
        <w:pStyle w:val="Title"/>
        <w:jc w:val="center"/>
      </w:pPr>
      <w:r>
        <w:t>Information n</w:t>
      </w:r>
      <w:r w:rsidR="004A57DB">
        <w:t xml:space="preserve">ote on </w:t>
      </w:r>
      <w:r w:rsidR="00950C95">
        <w:t xml:space="preserve">the </w:t>
      </w:r>
      <w:r w:rsidR="004A57DB">
        <w:t>Pension</w:t>
      </w:r>
      <w:r w:rsidR="000D5EE1">
        <w:t>s Authority</w:t>
      </w:r>
      <w:r w:rsidR="00950C95">
        <w:t>’s</w:t>
      </w:r>
    </w:p>
    <w:p w14:paraId="36B71A0C" w14:textId="77777777" w:rsidR="000E09F5" w:rsidRDefault="000E09F5" w:rsidP="000E09F5">
      <w:pPr>
        <w:pStyle w:val="Title"/>
        <w:jc w:val="center"/>
      </w:pPr>
      <w:bookmarkStart w:id="0" w:name="_Hlk86224930"/>
      <w:r>
        <w:t>defined benefit financial risk measure</w:t>
      </w:r>
    </w:p>
    <w:bookmarkEnd w:id="0"/>
    <w:p w14:paraId="70D33ED8" w14:textId="731EC6D9" w:rsidR="0039017F" w:rsidRDefault="0039017F" w:rsidP="0039017F">
      <w:pPr>
        <w:pStyle w:val="Title"/>
        <w:jc w:val="center"/>
      </w:pPr>
    </w:p>
    <w:p w14:paraId="3C40F801" w14:textId="77777777" w:rsidR="0039017F" w:rsidRDefault="0039017F" w:rsidP="0039017F"/>
    <w:p w14:paraId="295E8648" w14:textId="77777777" w:rsidR="00FD4CAB" w:rsidRDefault="00FD4CAB" w:rsidP="0039017F"/>
    <w:p w14:paraId="4D8BE923" w14:textId="77777777" w:rsidR="00FD4CAB" w:rsidRDefault="00FD4CAB" w:rsidP="0039017F"/>
    <w:p w14:paraId="60C7981A" w14:textId="77777777" w:rsidR="00FD4CAB" w:rsidRDefault="00FD4CAB" w:rsidP="0039017F"/>
    <w:p w14:paraId="2ECE422A" w14:textId="77777777" w:rsidR="00FD4CAB" w:rsidRDefault="00FD4CAB" w:rsidP="0039017F"/>
    <w:p w14:paraId="50E90E68" w14:textId="77777777" w:rsidR="00FD4CAB" w:rsidRDefault="00FD4CAB" w:rsidP="0039017F"/>
    <w:p w14:paraId="37E8780B" w14:textId="77777777" w:rsidR="00FD4CAB" w:rsidRDefault="00FD4CAB" w:rsidP="0039017F"/>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FD4CAB" w14:paraId="220F4959" w14:textId="77777777" w:rsidTr="00737ED0">
        <w:tc>
          <w:tcPr>
            <w:tcW w:w="9016" w:type="dxa"/>
          </w:tcPr>
          <w:p w14:paraId="50A8582E" w14:textId="77777777" w:rsidR="00FD4CAB" w:rsidRDefault="00FD4CAB" w:rsidP="00737ED0">
            <w:pPr>
              <w:spacing w:after="0" w:line="276" w:lineRule="auto"/>
            </w:pPr>
          </w:p>
          <w:p w14:paraId="3D86DC43" w14:textId="77777777" w:rsidR="00FD4CAB" w:rsidRPr="00535A3C" w:rsidRDefault="00FD4CAB" w:rsidP="00737ED0">
            <w:pPr>
              <w:spacing w:after="0" w:line="276" w:lineRule="auto"/>
              <w:ind w:left="164" w:right="169"/>
              <w:rPr>
                <w:rFonts w:cs="Arial"/>
                <w:b/>
                <w:iCs/>
              </w:rPr>
            </w:pPr>
            <w:r w:rsidRPr="00535A3C">
              <w:rPr>
                <w:rFonts w:cs="Arial"/>
                <w:b/>
                <w:iCs/>
              </w:rPr>
              <w:t>Disclaimer</w:t>
            </w:r>
          </w:p>
          <w:p w14:paraId="79BCC3D0" w14:textId="77777777" w:rsidR="00FD4CAB" w:rsidRDefault="00FD4CAB" w:rsidP="00737ED0">
            <w:pPr>
              <w:spacing w:after="0" w:line="276" w:lineRule="auto"/>
              <w:ind w:left="164" w:right="169"/>
              <w:rPr>
                <w:rFonts w:cs="Arial"/>
                <w:iCs/>
              </w:rPr>
            </w:pPr>
          </w:p>
          <w:p w14:paraId="59B0FBB8" w14:textId="77777777" w:rsidR="00FD4CAB" w:rsidRPr="008E145F" w:rsidRDefault="00FD4CAB" w:rsidP="00737ED0">
            <w:pPr>
              <w:spacing w:after="0" w:line="276" w:lineRule="auto"/>
              <w:ind w:left="164" w:right="169"/>
              <w:rPr>
                <w:rFonts w:cs="Arial"/>
              </w:rPr>
            </w:pPr>
            <w:r w:rsidRPr="008E145F">
              <w:rPr>
                <w:rFonts w:cs="Arial"/>
                <w:iCs/>
              </w:rPr>
              <w:t>The Pensions Authority have made every effort to ensure that this guidance note is correct. However, no liability whatsoever is accepted by the Pensions Authority, its servants or agents for any errors or omissions in the information contained in this guidance note or for any loss occasioned to any person acting or refraining from acting as a result of the information in this guidance note.</w:t>
            </w:r>
          </w:p>
          <w:p w14:paraId="160A3E93" w14:textId="3F7D9ACC" w:rsidR="00FD4CAB" w:rsidRDefault="00FD4CAB" w:rsidP="00737ED0">
            <w:pPr>
              <w:spacing w:after="0" w:line="276" w:lineRule="auto"/>
            </w:pPr>
          </w:p>
        </w:tc>
      </w:tr>
    </w:tbl>
    <w:p w14:paraId="3994F839" w14:textId="6865BF47" w:rsidR="00FD4CAB" w:rsidRDefault="00FD4CAB" w:rsidP="0039017F">
      <w:pPr>
        <w:sectPr w:rsidR="00FD4CAB" w:rsidSect="005C1983">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14:paraId="7EF70B4C" w14:textId="39E67F5E" w:rsidR="0043678F" w:rsidRDefault="00737ED0" w:rsidP="0043678F">
      <w:pPr>
        <w:spacing w:after="0" w:line="276" w:lineRule="auto"/>
        <w:rPr>
          <w:b/>
          <w:bCs/>
          <w:sz w:val="32"/>
          <w:szCs w:val="32"/>
        </w:rPr>
      </w:pPr>
      <w:r w:rsidRPr="00737ED0">
        <w:rPr>
          <w:b/>
          <w:bCs/>
          <w:sz w:val="32"/>
          <w:szCs w:val="32"/>
        </w:rPr>
        <w:lastRenderedPageBreak/>
        <w:t>Table of contents</w:t>
      </w:r>
    </w:p>
    <w:p w14:paraId="5AB1019A" w14:textId="0835AB7E" w:rsidR="0043678F" w:rsidRDefault="0043678F" w:rsidP="0043678F">
      <w:pPr>
        <w:spacing w:after="0" w:line="276" w:lineRule="auto"/>
        <w:rPr>
          <w:b/>
          <w:bCs/>
          <w:szCs w:val="24"/>
        </w:rPr>
      </w:pPr>
    </w:p>
    <w:p w14:paraId="26B60B35" w14:textId="2F37CD0C" w:rsidR="00886F6C" w:rsidRDefault="0043678F" w:rsidP="00886F6C">
      <w:pPr>
        <w:pStyle w:val="TOC1"/>
        <w:rPr>
          <w:rFonts w:asciiTheme="minorHAnsi" w:eastAsiaTheme="minorEastAsia" w:hAnsiTheme="minorHAnsi"/>
          <w:noProof/>
          <w:sz w:val="22"/>
          <w:lang w:val="en-IE" w:eastAsia="en-IE"/>
        </w:rPr>
      </w:pPr>
      <w:r>
        <w:rPr>
          <w:b/>
          <w:bCs/>
          <w:szCs w:val="24"/>
        </w:rPr>
        <w:fldChar w:fldCharType="begin"/>
      </w:r>
      <w:r>
        <w:rPr>
          <w:b/>
          <w:bCs/>
          <w:szCs w:val="24"/>
        </w:rPr>
        <w:instrText xml:space="preserve"> TOC \o "1-3" \h \z \u </w:instrText>
      </w:r>
      <w:r>
        <w:rPr>
          <w:b/>
          <w:bCs/>
          <w:szCs w:val="24"/>
        </w:rPr>
        <w:fldChar w:fldCharType="separate"/>
      </w:r>
      <w:hyperlink w:anchor="_Toc87976276" w:history="1">
        <w:r w:rsidR="00886F6C" w:rsidRPr="00C44E21">
          <w:rPr>
            <w:rStyle w:val="Hyperlink"/>
            <w:noProof/>
          </w:rPr>
          <w:t>1.</w:t>
        </w:r>
        <w:r w:rsidR="00886F6C">
          <w:rPr>
            <w:rFonts w:asciiTheme="minorHAnsi" w:eastAsiaTheme="minorEastAsia" w:hAnsiTheme="minorHAnsi"/>
            <w:noProof/>
            <w:sz w:val="22"/>
            <w:lang w:val="en-IE" w:eastAsia="en-IE"/>
          </w:rPr>
          <w:tab/>
        </w:r>
        <w:r w:rsidR="00886F6C" w:rsidRPr="00C44E21">
          <w:rPr>
            <w:rStyle w:val="Hyperlink"/>
            <w:noProof/>
          </w:rPr>
          <w:t>Introduction</w:t>
        </w:r>
        <w:r w:rsidR="00886F6C">
          <w:rPr>
            <w:noProof/>
            <w:webHidden/>
          </w:rPr>
          <w:tab/>
        </w:r>
        <w:r w:rsidR="00886F6C">
          <w:rPr>
            <w:noProof/>
            <w:webHidden/>
          </w:rPr>
          <w:fldChar w:fldCharType="begin"/>
        </w:r>
        <w:r w:rsidR="00886F6C">
          <w:rPr>
            <w:noProof/>
            <w:webHidden/>
          </w:rPr>
          <w:instrText xml:space="preserve"> PAGEREF _Toc87976276 \h </w:instrText>
        </w:r>
        <w:r w:rsidR="00886F6C">
          <w:rPr>
            <w:noProof/>
            <w:webHidden/>
          </w:rPr>
        </w:r>
        <w:r w:rsidR="00886F6C">
          <w:rPr>
            <w:noProof/>
            <w:webHidden/>
          </w:rPr>
          <w:fldChar w:fldCharType="separate"/>
        </w:r>
        <w:r w:rsidR="00C92967">
          <w:rPr>
            <w:noProof/>
            <w:webHidden/>
          </w:rPr>
          <w:t>3</w:t>
        </w:r>
        <w:r w:rsidR="00886F6C">
          <w:rPr>
            <w:noProof/>
            <w:webHidden/>
          </w:rPr>
          <w:fldChar w:fldCharType="end"/>
        </w:r>
      </w:hyperlink>
    </w:p>
    <w:p w14:paraId="30D8C021" w14:textId="2337053C" w:rsidR="00886F6C" w:rsidRDefault="00886F6C" w:rsidP="00886F6C">
      <w:pPr>
        <w:pStyle w:val="TOC1"/>
        <w:rPr>
          <w:rFonts w:asciiTheme="minorHAnsi" w:eastAsiaTheme="minorEastAsia" w:hAnsiTheme="minorHAnsi"/>
          <w:noProof/>
          <w:sz w:val="22"/>
          <w:lang w:val="en-IE" w:eastAsia="en-IE"/>
        </w:rPr>
      </w:pPr>
      <w:hyperlink w:anchor="_Toc87976277" w:history="1">
        <w:r w:rsidRPr="00C44E21">
          <w:rPr>
            <w:rStyle w:val="Hyperlink"/>
            <w:noProof/>
          </w:rPr>
          <w:t>2.</w:t>
        </w:r>
        <w:r>
          <w:rPr>
            <w:rFonts w:asciiTheme="minorHAnsi" w:eastAsiaTheme="minorEastAsia" w:hAnsiTheme="minorHAnsi"/>
            <w:noProof/>
            <w:sz w:val="22"/>
            <w:lang w:val="en-IE" w:eastAsia="en-IE"/>
          </w:rPr>
          <w:tab/>
        </w:r>
        <w:r w:rsidRPr="00C44E21">
          <w:rPr>
            <w:rStyle w:val="Hyperlink"/>
            <w:noProof/>
          </w:rPr>
          <w:t>The risk measure</w:t>
        </w:r>
        <w:r>
          <w:rPr>
            <w:noProof/>
            <w:webHidden/>
          </w:rPr>
          <w:tab/>
        </w:r>
        <w:r>
          <w:rPr>
            <w:noProof/>
            <w:webHidden/>
          </w:rPr>
          <w:fldChar w:fldCharType="begin"/>
        </w:r>
        <w:r>
          <w:rPr>
            <w:noProof/>
            <w:webHidden/>
          </w:rPr>
          <w:instrText xml:space="preserve"> PAGEREF _Toc87976277 \h </w:instrText>
        </w:r>
        <w:r>
          <w:rPr>
            <w:noProof/>
            <w:webHidden/>
          </w:rPr>
        </w:r>
        <w:r>
          <w:rPr>
            <w:noProof/>
            <w:webHidden/>
          </w:rPr>
          <w:fldChar w:fldCharType="separate"/>
        </w:r>
        <w:r w:rsidR="00C92967">
          <w:rPr>
            <w:noProof/>
            <w:webHidden/>
          </w:rPr>
          <w:t>3</w:t>
        </w:r>
        <w:r>
          <w:rPr>
            <w:noProof/>
            <w:webHidden/>
          </w:rPr>
          <w:fldChar w:fldCharType="end"/>
        </w:r>
      </w:hyperlink>
    </w:p>
    <w:p w14:paraId="064F7D98" w14:textId="2BEE7469" w:rsidR="00886F6C" w:rsidRDefault="00886F6C" w:rsidP="00886F6C">
      <w:pPr>
        <w:pStyle w:val="TOC2"/>
        <w:tabs>
          <w:tab w:val="left" w:pos="880"/>
          <w:tab w:val="right" w:leader="dot" w:pos="9016"/>
        </w:tabs>
        <w:ind w:left="426"/>
        <w:rPr>
          <w:rFonts w:asciiTheme="minorHAnsi" w:eastAsiaTheme="minorEastAsia" w:hAnsiTheme="minorHAnsi"/>
          <w:noProof/>
          <w:sz w:val="22"/>
          <w:lang w:val="en-IE" w:eastAsia="en-IE"/>
        </w:rPr>
      </w:pPr>
      <w:hyperlink w:anchor="_Toc87976278" w:history="1">
        <w:r w:rsidRPr="00C44E21">
          <w:rPr>
            <w:rStyle w:val="Hyperlink"/>
            <w:noProof/>
          </w:rPr>
          <w:t>2.1</w:t>
        </w:r>
        <w:r>
          <w:rPr>
            <w:rFonts w:asciiTheme="minorHAnsi" w:eastAsiaTheme="minorEastAsia" w:hAnsiTheme="minorHAnsi"/>
            <w:noProof/>
            <w:sz w:val="22"/>
            <w:lang w:val="en-IE" w:eastAsia="en-IE"/>
          </w:rPr>
          <w:tab/>
        </w:r>
        <w:r w:rsidRPr="00C44E21">
          <w:rPr>
            <w:rStyle w:val="Hyperlink"/>
            <w:noProof/>
          </w:rPr>
          <w:t>Risk modules</w:t>
        </w:r>
        <w:r>
          <w:rPr>
            <w:noProof/>
            <w:webHidden/>
          </w:rPr>
          <w:tab/>
        </w:r>
        <w:r>
          <w:rPr>
            <w:noProof/>
            <w:webHidden/>
          </w:rPr>
          <w:fldChar w:fldCharType="begin"/>
        </w:r>
        <w:r>
          <w:rPr>
            <w:noProof/>
            <w:webHidden/>
          </w:rPr>
          <w:instrText xml:space="preserve"> PAGEREF _Toc87976278 \h </w:instrText>
        </w:r>
        <w:r>
          <w:rPr>
            <w:noProof/>
            <w:webHidden/>
          </w:rPr>
        </w:r>
        <w:r>
          <w:rPr>
            <w:noProof/>
            <w:webHidden/>
          </w:rPr>
          <w:fldChar w:fldCharType="separate"/>
        </w:r>
        <w:r w:rsidR="00C92967">
          <w:rPr>
            <w:noProof/>
            <w:webHidden/>
          </w:rPr>
          <w:t>3</w:t>
        </w:r>
        <w:r>
          <w:rPr>
            <w:noProof/>
            <w:webHidden/>
          </w:rPr>
          <w:fldChar w:fldCharType="end"/>
        </w:r>
      </w:hyperlink>
    </w:p>
    <w:p w14:paraId="3291EE43" w14:textId="476A9769" w:rsidR="00886F6C" w:rsidRDefault="00886F6C" w:rsidP="00886F6C">
      <w:pPr>
        <w:pStyle w:val="TOC2"/>
        <w:tabs>
          <w:tab w:val="left" w:pos="880"/>
          <w:tab w:val="right" w:leader="dot" w:pos="9016"/>
        </w:tabs>
        <w:ind w:left="426"/>
        <w:rPr>
          <w:rFonts w:asciiTheme="minorHAnsi" w:eastAsiaTheme="minorEastAsia" w:hAnsiTheme="minorHAnsi"/>
          <w:noProof/>
          <w:sz w:val="22"/>
          <w:lang w:val="en-IE" w:eastAsia="en-IE"/>
        </w:rPr>
      </w:pPr>
      <w:hyperlink w:anchor="_Toc87976279" w:history="1">
        <w:r w:rsidRPr="00C44E21">
          <w:rPr>
            <w:rStyle w:val="Hyperlink"/>
            <w:noProof/>
          </w:rPr>
          <w:t>2.2</w:t>
        </w:r>
        <w:r>
          <w:rPr>
            <w:rFonts w:asciiTheme="minorHAnsi" w:eastAsiaTheme="minorEastAsia" w:hAnsiTheme="minorHAnsi"/>
            <w:noProof/>
            <w:sz w:val="22"/>
            <w:lang w:val="en-IE" w:eastAsia="en-IE"/>
          </w:rPr>
          <w:tab/>
        </w:r>
        <w:r w:rsidRPr="00C44E21">
          <w:rPr>
            <w:rStyle w:val="Hyperlink"/>
            <w:noProof/>
          </w:rPr>
          <w:t>Shock size</w:t>
        </w:r>
        <w:r>
          <w:rPr>
            <w:noProof/>
            <w:webHidden/>
          </w:rPr>
          <w:tab/>
        </w:r>
        <w:r>
          <w:rPr>
            <w:noProof/>
            <w:webHidden/>
          </w:rPr>
          <w:fldChar w:fldCharType="begin"/>
        </w:r>
        <w:r>
          <w:rPr>
            <w:noProof/>
            <w:webHidden/>
          </w:rPr>
          <w:instrText xml:space="preserve"> PAGEREF _Toc87976279 \h </w:instrText>
        </w:r>
        <w:r>
          <w:rPr>
            <w:noProof/>
            <w:webHidden/>
          </w:rPr>
        </w:r>
        <w:r>
          <w:rPr>
            <w:noProof/>
            <w:webHidden/>
          </w:rPr>
          <w:fldChar w:fldCharType="separate"/>
        </w:r>
        <w:r w:rsidR="00C92967">
          <w:rPr>
            <w:noProof/>
            <w:webHidden/>
          </w:rPr>
          <w:t>4</w:t>
        </w:r>
        <w:r>
          <w:rPr>
            <w:noProof/>
            <w:webHidden/>
          </w:rPr>
          <w:fldChar w:fldCharType="end"/>
        </w:r>
      </w:hyperlink>
    </w:p>
    <w:p w14:paraId="236E431A" w14:textId="1F8DC8D8" w:rsidR="00886F6C" w:rsidRDefault="00886F6C" w:rsidP="00886F6C">
      <w:pPr>
        <w:pStyle w:val="TOC1"/>
        <w:rPr>
          <w:rFonts w:asciiTheme="minorHAnsi" w:eastAsiaTheme="minorEastAsia" w:hAnsiTheme="minorHAnsi"/>
          <w:noProof/>
          <w:sz w:val="22"/>
          <w:lang w:val="en-IE" w:eastAsia="en-IE"/>
        </w:rPr>
      </w:pPr>
      <w:hyperlink w:anchor="_Toc87976280" w:history="1">
        <w:r w:rsidRPr="00C44E21">
          <w:rPr>
            <w:rStyle w:val="Hyperlink"/>
            <w:noProof/>
          </w:rPr>
          <w:t>3.</w:t>
        </w:r>
        <w:r>
          <w:rPr>
            <w:rFonts w:asciiTheme="minorHAnsi" w:eastAsiaTheme="minorEastAsia" w:hAnsiTheme="minorHAnsi"/>
            <w:noProof/>
            <w:sz w:val="22"/>
            <w:lang w:val="en-IE" w:eastAsia="en-IE"/>
          </w:rPr>
          <w:tab/>
        </w:r>
        <w:r w:rsidRPr="00C44E21">
          <w:rPr>
            <w:rStyle w:val="Hyperlink"/>
            <w:noProof/>
          </w:rPr>
          <w:t>Notes for practitioners on the use of the spreadsheet</w:t>
        </w:r>
        <w:r>
          <w:rPr>
            <w:noProof/>
            <w:webHidden/>
          </w:rPr>
          <w:tab/>
        </w:r>
        <w:r>
          <w:rPr>
            <w:noProof/>
            <w:webHidden/>
          </w:rPr>
          <w:fldChar w:fldCharType="begin"/>
        </w:r>
        <w:r>
          <w:rPr>
            <w:noProof/>
            <w:webHidden/>
          </w:rPr>
          <w:instrText xml:space="preserve"> PAGEREF _Toc87976280 \h </w:instrText>
        </w:r>
        <w:r>
          <w:rPr>
            <w:noProof/>
            <w:webHidden/>
          </w:rPr>
        </w:r>
        <w:r>
          <w:rPr>
            <w:noProof/>
            <w:webHidden/>
          </w:rPr>
          <w:fldChar w:fldCharType="separate"/>
        </w:r>
        <w:r w:rsidR="00C92967">
          <w:rPr>
            <w:noProof/>
            <w:webHidden/>
          </w:rPr>
          <w:t>5</w:t>
        </w:r>
        <w:r>
          <w:rPr>
            <w:noProof/>
            <w:webHidden/>
          </w:rPr>
          <w:fldChar w:fldCharType="end"/>
        </w:r>
      </w:hyperlink>
    </w:p>
    <w:p w14:paraId="58111037" w14:textId="560A8AD8" w:rsidR="00886F6C" w:rsidRDefault="00886F6C" w:rsidP="00886F6C">
      <w:pPr>
        <w:pStyle w:val="TOC2"/>
        <w:tabs>
          <w:tab w:val="left" w:pos="880"/>
          <w:tab w:val="right" w:leader="dot" w:pos="9016"/>
        </w:tabs>
        <w:ind w:left="426"/>
        <w:rPr>
          <w:rFonts w:asciiTheme="minorHAnsi" w:eastAsiaTheme="minorEastAsia" w:hAnsiTheme="minorHAnsi"/>
          <w:noProof/>
          <w:sz w:val="22"/>
          <w:lang w:val="en-IE" w:eastAsia="en-IE"/>
        </w:rPr>
      </w:pPr>
      <w:hyperlink w:anchor="_Toc87976281" w:history="1">
        <w:r w:rsidRPr="00C44E21">
          <w:rPr>
            <w:rStyle w:val="Hyperlink"/>
            <w:noProof/>
          </w:rPr>
          <w:t>3.1</w:t>
        </w:r>
        <w:r>
          <w:rPr>
            <w:rFonts w:asciiTheme="minorHAnsi" w:eastAsiaTheme="minorEastAsia" w:hAnsiTheme="minorHAnsi"/>
            <w:noProof/>
            <w:sz w:val="22"/>
            <w:lang w:val="en-IE" w:eastAsia="en-IE"/>
          </w:rPr>
          <w:tab/>
        </w:r>
        <w:r w:rsidRPr="00C44E21">
          <w:rPr>
            <w:rStyle w:val="Hyperlink"/>
            <w:noProof/>
          </w:rPr>
          <w:t>Calculation of the risk measure</w:t>
        </w:r>
        <w:r>
          <w:rPr>
            <w:noProof/>
            <w:webHidden/>
          </w:rPr>
          <w:tab/>
        </w:r>
        <w:r>
          <w:rPr>
            <w:noProof/>
            <w:webHidden/>
          </w:rPr>
          <w:fldChar w:fldCharType="begin"/>
        </w:r>
        <w:r>
          <w:rPr>
            <w:noProof/>
            <w:webHidden/>
          </w:rPr>
          <w:instrText xml:space="preserve"> PAGEREF _Toc87976281 \h </w:instrText>
        </w:r>
        <w:r>
          <w:rPr>
            <w:noProof/>
            <w:webHidden/>
          </w:rPr>
        </w:r>
        <w:r>
          <w:rPr>
            <w:noProof/>
            <w:webHidden/>
          </w:rPr>
          <w:fldChar w:fldCharType="separate"/>
        </w:r>
        <w:r w:rsidR="00C92967">
          <w:rPr>
            <w:noProof/>
            <w:webHidden/>
          </w:rPr>
          <w:t>5</w:t>
        </w:r>
        <w:r>
          <w:rPr>
            <w:noProof/>
            <w:webHidden/>
          </w:rPr>
          <w:fldChar w:fldCharType="end"/>
        </w:r>
      </w:hyperlink>
    </w:p>
    <w:p w14:paraId="21A7EAAB" w14:textId="7E294CEB" w:rsidR="00886F6C" w:rsidRDefault="00886F6C" w:rsidP="00886F6C">
      <w:pPr>
        <w:pStyle w:val="TOC2"/>
        <w:tabs>
          <w:tab w:val="left" w:pos="880"/>
          <w:tab w:val="right" w:leader="dot" w:pos="9016"/>
        </w:tabs>
        <w:ind w:left="426"/>
        <w:rPr>
          <w:rFonts w:asciiTheme="minorHAnsi" w:eastAsiaTheme="minorEastAsia" w:hAnsiTheme="minorHAnsi"/>
          <w:noProof/>
          <w:sz w:val="22"/>
          <w:lang w:val="en-IE" w:eastAsia="en-IE"/>
        </w:rPr>
      </w:pPr>
      <w:hyperlink w:anchor="_Toc87976282" w:history="1">
        <w:r w:rsidRPr="00C44E21">
          <w:rPr>
            <w:rStyle w:val="Hyperlink"/>
            <w:noProof/>
          </w:rPr>
          <w:t>3.2</w:t>
        </w:r>
        <w:r>
          <w:rPr>
            <w:rFonts w:asciiTheme="minorHAnsi" w:eastAsiaTheme="minorEastAsia" w:hAnsiTheme="minorHAnsi"/>
            <w:noProof/>
            <w:sz w:val="22"/>
            <w:lang w:val="en-IE" w:eastAsia="en-IE"/>
          </w:rPr>
          <w:tab/>
        </w:r>
        <w:r w:rsidRPr="00C44E21">
          <w:rPr>
            <w:rStyle w:val="Hyperlink"/>
            <w:noProof/>
          </w:rPr>
          <w:t>Identifying the relevant risk modules</w:t>
        </w:r>
        <w:r>
          <w:rPr>
            <w:noProof/>
            <w:webHidden/>
          </w:rPr>
          <w:tab/>
        </w:r>
        <w:r>
          <w:rPr>
            <w:noProof/>
            <w:webHidden/>
          </w:rPr>
          <w:fldChar w:fldCharType="begin"/>
        </w:r>
        <w:r>
          <w:rPr>
            <w:noProof/>
            <w:webHidden/>
          </w:rPr>
          <w:instrText xml:space="preserve"> PAGEREF _Toc87976282 \h </w:instrText>
        </w:r>
        <w:r>
          <w:rPr>
            <w:noProof/>
            <w:webHidden/>
          </w:rPr>
        </w:r>
        <w:r>
          <w:rPr>
            <w:noProof/>
            <w:webHidden/>
          </w:rPr>
          <w:fldChar w:fldCharType="separate"/>
        </w:r>
        <w:r w:rsidR="00C92967">
          <w:rPr>
            <w:noProof/>
            <w:webHidden/>
          </w:rPr>
          <w:t>5</w:t>
        </w:r>
        <w:r>
          <w:rPr>
            <w:noProof/>
            <w:webHidden/>
          </w:rPr>
          <w:fldChar w:fldCharType="end"/>
        </w:r>
      </w:hyperlink>
    </w:p>
    <w:p w14:paraId="41E2700C" w14:textId="62510C0C" w:rsidR="00886F6C" w:rsidRDefault="00886F6C" w:rsidP="00886F6C">
      <w:pPr>
        <w:pStyle w:val="TOC2"/>
        <w:tabs>
          <w:tab w:val="left" w:pos="880"/>
          <w:tab w:val="right" w:leader="dot" w:pos="9016"/>
        </w:tabs>
        <w:ind w:left="426"/>
        <w:rPr>
          <w:rFonts w:asciiTheme="minorHAnsi" w:eastAsiaTheme="minorEastAsia" w:hAnsiTheme="minorHAnsi"/>
          <w:noProof/>
          <w:sz w:val="22"/>
          <w:lang w:val="en-IE" w:eastAsia="en-IE"/>
        </w:rPr>
      </w:pPr>
      <w:hyperlink w:anchor="_Toc87976283" w:history="1">
        <w:r w:rsidRPr="00C44E21">
          <w:rPr>
            <w:rStyle w:val="Hyperlink"/>
            <w:noProof/>
          </w:rPr>
          <w:t>3.3</w:t>
        </w:r>
        <w:r>
          <w:rPr>
            <w:rFonts w:asciiTheme="minorHAnsi" w:eastAsiaTheme="minorEastAsia" w:hAnsiTheme="minorHAnsi"/>
            <w:noProof/>
            <w:sz w:val="22"/>
            <w:lang w:val="en-IE" w:eastAsia="en-IE"/>
          </w:rPr>
          <w:tab/>
        </w:r>
        <w:r w:rsidRPr="00C44E21">
          <w:rPr>
            <w:rStyle w:val="Hyperlink"/>
            <w:noProof/>
          </w:rPr>
          <w:t>Risk module calculation example</w:t>
        </w:r>
        <w:r>
          <w:rPr>
            <w:noProof/>
            <w:webHidden/>
          </w:rPr>
          <w:tab/>
        </w:r>
        <w:r>
          <w:rPr>
            <w:noProof/>
            <w:webHidden/>
          </w:rPr>
          <w:fldChar w:fldCharType="begin"/>
        </w:r>
        <w:r>
          <w:rPr>
            <w:noProof/>
            <w:webHidden/>
          </w:rPr>
          <w:instrText xml:space="preserve"> PAGEREF _Toc87976283 \h </w:instrText>
        </w:r>
        <w:r>
          <w:rPr>
            <w:noProof/>
            <w:webHidden/>
          </w:rPr>
        </w:r>
        <w:r>
          <w:rPr>
            <w:noProof/>
            <w:webHidden/>
          </w:rPr>
          <w:fldChar w:fldCharType="separate"/>
        </w:r>
        <w:r w:rsidR="00C92967">
          <w:rPr>
            <w:noProof/>
            <w:webHidden/>
          </w:rPr>
          <w:t>6</w:t>
        </w:r>
        <w:r>
          <w:rPr>
            <w:noProof/>
            <w:webHidden/>
          </w:rPr>
          <w:fldChar w:fldCharType="end"/>
        </w:r>
      </w:hyperlink>
    </w:p>
    <w:p w14:paraId="26F1529B" w14:textId="17D6CCB6" w:rsidR="00886F6C" w:rsidRDefault="00886F6C" w:rsidP="00886F6C">
      <w:pPr>
        <w:pStyle w:val="TOC2"/>
        <w:tabs>
          <w:tab w:val="left" w:pos="880"/>
          <w:tab w:val="right" w:leader="dot" w:pos="9016"/>
        </w:tabs>
        <w:ind w:left="426"/>
        <w:rPr>
          <w:rFonts w:asciiTheme="minorHAnsi" w:eastAsiaTheme="minorEastAsia" w:hAnsiTheme="minorHAnsi"/>
          <w:noProof/>
          <w:sz w:val="22"/>
          <w:lang w:val="en-IE" w:eastAsia="en-IE"/>
        </w:rPr>
      </w:pPr>
      <w:hyperlink w:anchor="_Toc87976284" w:history="1">
        <w:r w:rsidRPr="00C44E21">
          <w:rPr>
            <w:rStyle w:val="Hyperlink"/>
            <w:noProof/>
          </w:rPr>
          <w:t>3.4</w:t>
        </w:r>
        <w:r>
          <w:rPr>
            <w:rFonts w:asciiTheme="minorHAnsi" w:eastAsiaTheme="minorEastAsia" w:hAnsiTheme="minorHAnsi"/>
            <w:noProof/>
            <w:sz w:val="22"/>
            <w:lang w:val="en-IE" w:eastAsia="en-IE"/>
          </w:rPr>
          <w:tab/>
        </w:r>
        <w:r w:rsidRPr="00C44E21">
          <w:rPr>
            <w:rStyle w:val="Hyperlink"/>
            <w:noProof/>
          </w:rPr>
          <w:t>Risk measure spreadsheet</w:t>
        </w:r>
        <w:r>
          <w:rPr>
            <w:noProof/>
            <w:webHidden/>
          </w:rPr>
          <w:tab/>
        </w:r>
        <w:r>
          <w:rPr>
            <w:noProof/>
            <w:webHidden/>
          </w:rPr>
          <w:fldChar w:fldCharType="begin"/>
        </w:r>
        <w:r>
          <w:rPr>
            <w:noProof/>
            <w:webHidden/>
          </w:rPr>
          <w:instrText xml:space="preserve"> PAGEREF _Toc87976284 \h </w:instrText>
        </w:r>
        <w:r>
          <w:rPr>
            <w:noProof/>
            <w:webHidden/>
          </w:rPr>
        </w:r>
        <w:r>
          <w:rPr>
            <w:noProof/>
            <w:webHidden/>
          </w:rPr>
          <w:fldChar w:fldCharType="separate"/>
        </w:r>
        <w:r w:rsidR="00C92967">
          <w:rPr>
            <w:noProof/>
            <w:webHidden/>
          </w:rPr>
          <w:t>7</w:t>
        </w:r>
        <w:r>
          <w:rPr>
            <w:noProof/>
            <w:webHidden/>
          </w:rPr>
          <w:fldChar w:fldCharType="end"/>
        </w:r>
      </w:hyperlink>
    </w:p>
    <w:p w14:paraId="12FABA69" w14:textId="68629412" w:rsidR="00886F6C" w:rsidRDefault="00886F6C" w:rsidP="00886F6C">
      <w:pPr>
        <w:pStyle w:val="TOC2"/>
        <w:tabs>
          <w:tab w:val="left" w:pos="880"/>
          <w:tab w:val="right" w:leader="dot" w:pos="9016"/>
        </w:tabs>
        <w:ind w:left="426"/>
        <w:rPr>
          <w:rFonts w:asciiTheme="minorHAnsi" w:eastAsiaTheme="minorEastAsia" w:hAnsiTheme="minorHAnsi"/>
          <w:noProof/>
          <w:sz w:val="22"/>
          <w:lang w:val="en-IE" w:eastAsia="en-IE"/>
        </w:rPr>
      </w:pPr>
      <w:hyperlink w:anchor="_Toc87976285" w:history="1">
        <w:r w:rsidRPr="00C44E21">
          <w:rPr>
            <w:rStyle w:val="Hyperlink"/>
            <w:noProof/>
          </w:rPr>
          <w:t>3.5</w:t>
        </w:r>
        <w:r>
          <w:rPr>
            <w:rFonts w:asciiTheme="minorHAnsi" w:eastAsiaTheme="minorEastAsia" w:hAnsiTheme="minorHAnsi"/>
            <w:noProof/>
            <w:sz w:val="22"/>
            <w:lang w:val="en-IE" w:eastAsia="en-IE"/>
          </w:rPr>
          <w:tab/>
        </w:r>
        <w:r w:rsidRPr="00C44E21">
          <w:rPr>
            <w:rStyle w:val="Hyperlink"/>
            <w:noProof/>
          </w:rPr>
          <w:t>Notes on specific issues</w:t>
        </w:r>
        <w:r>
          <w:rPr>
            <w:noProof/>
            <w:webHidden/>
          </w:rPr>
          <w:tab/>
        </w:r>
        <w:r>
          <w:rPr>
            <w:noProof/>
            <w:webHidden/>
          </w:rPr>
          <w:fldChar w:fldCharType="begin"/>
        </w:r>
        <w:r>
          <w:rPr>
            <w:noProof/>
            <w:webHidden/>
          </w:rPr>
          <w:instrText xml:space="preserve"> PAGEREF _Toc87976285 \h </w:instrText>
        </w:r>
        <w:r>
          <w:rPr>
            <w:noProof/>
            <w:webHidden/>
          </w:rPr>
        </w:r>
        <w:r>
          <w:rPr>
            <w:noProof/>
            <w:webHidden/>
          </w:rPr>
          <w:fldChar w:fldCharType="separate"/>
        </w:r>
        <w:r w:rsidR="00C92967">
          <w:rPr>
            <w:noProof/>
            <w:webHidden/>
          </w:rPr>
          <w:t>8</w:t>
        </w:r>
        <w:r>
          <w:rPr>
            <w:noProof/>
            <w:webHidden/>
          </w:rPr>
          <w:fldChar w:fldCharType="end"/>
        </w:r>
      </w:hyperlink>
    </w:p>
    <w:p w14:paraId="0E00AC76" w14:textId="37CE072A" w:rsidR="0043678F" w:rsidRDefault="0043678F" w:rsidP="0043678F">
      <w:pPr>
        <w:spacing w:after="0" w:line="276" w:lineRule="auto"/>
        <w:rPr>
          <w:b/>
          <w:bCs/>
          <w:szCs w:val="24"/>
        </w:rPr>
      </w:pPr>
      <w:r>
        <w:rPr>
          <w:b/>
          <w:bCs/>
          <w:szCs w:val="24"/>
        </w:rPr>
        <w:fldChar w:fldCharType="end"/>
      </w:r>
    </w:p>
    <w:p w14:paraId="489A4E7F" w14:textId="77777777" w:rsidR="0043678F" w:rsidRPr="0043678F" w:rsidRDefault="0043678F" w:rsidP="0043678F">
      <w:pPr>
        <w:spacing w:after="0" w:line="276" w:lineRule="auto"/>
        <w:rPr>
          <w:b/>
          <w:bCs/>
          <w:szCs w:val="24"/>
        </w:rPr>
      </w:pPr>
    </w:p>
    <w:p w14:paraId="71D447E2" w14:textId="77777777" w:rsidR="0043678F" w:rsidRDefault="0043678F" w:rsidP="0043678F">
      <w:pPr>
        <w:spacing w:after="0" w:line="276" w:lineRule="auto"/>
        <w:rPr>
          <w:b/>
          <w:bCs/>
          <w:sz w:val="32"/>
          <w:szCs w:val="32"/>
        </w:rPr>
      </w:pPr>
    </w:p>
    <w:p w14:paraId="5CD15934" w14:textId="667957F2" w:rsidR="0043678F" w:rsidRPr="00737ED0" w:rsidRDefault="0043678F" w:rsidP="0039017F">
      <w:pPr>
        <w:rPr>
          <w:b/>
          <w:bCs/>
          <w:sz w:val="32"/>
          <w:szCs w:val="32"/>
        </w:rPr>
        <w:sectPr w:rsidR="0043678F" w:rsidRPr="00737ED0" w:rsidSect="00CE6EF6">
          <w:pgSz w:w="11906" w:h="16838"/>
          <w:pgMar w:top="1440" w:right="1440" w:bottom="1440" w:left="1440" w:header="708" w:footer="708" w:gutter="0"/>
          <w:cols w:space="708"/>
          <w:docGrid w:linePitch="360"/>
        </w:sectPr>
      </w:pPr>
    </w:p>
    <w:p w14:paraId="7B8AE73A" w14:textId="290CAE6B" w:rsidR="000D5EE1" w:rsidRDefault="001868C5" w:rsidP="00E216F8">
      <w:pPr>
        <w:pStyle w:val="Heading3"/>
        <w:numPr>
          <w:ilvl w:val="2"/>
          <w:numId w:val="14"/>
        </w:numPr>
        <w:ind w:left="567" w:hanging="567"/>
        <w:jc w:val="left"/>
      </w:pPr>
      <w:bookmarkStart w:id="1" w:name="_Toc87976276"/>
      <w:r>
        <w:lastRenderedPageBreak/>
        <w:t>Introduction</w:t>
      </w:r>
      <w:bookmarkEnd w:id="1"/>
    </w:p>
    <w:p w14:paraId="2C18CFBF" w14:textId="79DC924C" w:rsidR="0043678F" w:rsidRPr="00CE088A" w:rsidRDefault="0043678F" w:rsidP="00E216F8">
      <w:pPr>
        <w:spacing w:after="0" w:line="276" w:lineRule="auto"/>
        <w:jc w:val="left"/>
        <w:rPr>
          <w:szCs w:val="24"/>
        </w:rPr>
      </w:pPr>
      <w:r w:rsidRPr="00CE088A">
        <w:rPr>
          <w:szCs w:val="24"/>
        </w:rPr>
        <w:t>Paragraph 101 of the Pension</w:t>
      </w:r>
      <w:r w:rsidR="00D42FEF">
        <w:rPr>
          <w:szCs w:val="24"/>
        </w:rPr>
        <w:t>s</w:t>
      </w:r>
      <w:r w:rsidRPr="00CE088A">
        <w:rPr>
          <w:szCs w:val="24"/>
        </w:rPr>
        <w:t xml:space="preserve"> Authority’s </w:t>
      </w:r>
      <w:hyperlink r:id="rId12" w:history="1">
        <w:r w:rsidRPr="00CE088A">
          <w:rPr>
            <w:szCs w:val="24"/>
          </w:rPr>
          <w:t>Code of Practice for trustees</w:t>
        </w:r>
      </w:hyperlink>
      <w:r w:rsidRPr="00CE088A">
        <w:rPr>
          <w:szCs w:val="24"/>
        </w:rPr>
        <w:t xml:space="preserve"> refers to a defined benefit financial risk measure (the risk measure) to be used in assessing levels of financial risk faced by defined benefit </w:t>
      </w:r>
      <w:r>
        <w:rPr>
          <w:szCs w:val="24"/>
        </w:rPr>
        <w:t xml:space="preserve">(DB) </w:t>
      </w:r>
      <w:r w:rsidRPr="00CE088A">
        <w:rPr>
          <w:szCs w:val="24"/>
        </w:rPr>
        <w:t>schemes. </w:t>
      </w:r>
    </w:p>
    <w:p w14:paraId="46D6BA46" w14:textId="77777777" w:rsidR="00737ED0" w:rsidRPr="005E210A" w:rsidRDefault="00737ED0" w:rsidP="00E216F8">
      <w:pPr>
        <w:spacing w:after="0" w:line="276" w:lineRule="auto"/>
        <w:jc w:val="left"/>
        <w:rPr>
          <w:szCs w:val="24"/>
        </w:rPr>
      </w:pPr>
    </w:p>
    <w:p w14:paraId="5B5C818D" w14:textId="0ECED1B2" w:rsidR="00137B50" w:rsidRDefault="00B556F3" w:rsidP="00E216F8">
      <w:pPr>
        <w:spacing w:after="0" w:line="276" w:lineRule="auto"/>
        <w:jc w:val="left"/>
        <w:rPr>
          <w:szCs w:val="24"/>
        </w:rPr>
      </w:pPr>
      <w:r w:rsidRPr="005E210A">
        <w:rPr>
          <w:szCs w:val="24"/>
        </w:rPr>
        <w:t xml:space="preserve">This </w:t>
      </w:r>
      <w:r w:rsidR="000E09F5">
        <w:rPr>
          <w:szCs w:val="24"/>
        </w:rPr>
        <w:t>document</w:t>
      </w:r>
      <w:r w:rsidR="000E09F5" w:rsidRPr="005E210A">
        <w:rPr>
          <w:szCs w:val="24"/>
        </w:rPr>
        <w:t xml:space="preserve"> </w:t>
      </w:r>
      <w:r w:rsidRPr="005E210A">
        <w:rPr>
          <w:szCs w:val="24"/>
        </w:rPr>
        <w:t>provides</w:t>
      </w:r>
      <w:r w:rsidR="00D65D34">
        <w:rPr>
          <w:szCs w:val="24"/>
        </w:rPr>
        <w:t>:</w:t>
      </w:r>
      <w:r w:rsidRPr="005E210A">
        <w:rPr>
          <w:szCs w:val="24"/>
        </w:rPr>
        <w:t xml:space="preserve"> </w:t>
      </w:r>
    </w:p>
    <w:p w14:paraId="2F4F61E5" w14:textId="77777777" w:rsidR="00737ED0" w:rsidRDefault="00737ED0" w:rsidP="00E216F8">
      <w:pPr>
        <w:spacing w:after="0" w:line="276" w:lineRule="auto"/>
        <w:jc w:val="left"/>
        <w:rPr>
          <w:szCs w:val="24"/>
        </w:rPr>
      </w:pPr>
    </w:p>
    <w:p w14:paraId="01968E51" w14:textId="45D0DCB8" w:rsidR="00137B50" w:rsidRDefault="00B556F3" w:rsidP="00E216F8">
      <w:pPr>
        <w:pStyle w:val="ListParagraph"/>
        <w:numPr>
          <w:ilvl w:val="0"/>
          <w:numId w:val="10"/>
        </w:numPr>
        <w:spacing w:after="0" w:line="276" w:lineRule="auto"/>
        <w:jc w:val="left"/>
        <w:rPr>
          <w:szCs w:val="24"/>
        </w:rPr>
      </w:pPr>
      <w:r w:rsidRPr="00137B50">
        <w:rPr>
          <w:szCs w:val="24"/>
        </w:rPr>
        <w:t>information for trustees and advisers on the risk measure</w:t>
      </w:r>
      <w:r w:rsidR="005E3012">
        <w:rPr>
          <w:szCs w:val="24"/>
        </w:rPr>
        <w:t>,</w:t>
      </w:r>
      <w:r w:rsidR="000E09F5" w:rsidRPr="00137B50">
        <w:rPr>
          <w:szCs w:val="24"/>
        </w:rPr>
        <w:t xml:space="preserve"> and</w:t>
      </w:r>
    </w:p>
    <w:p w14:paraId="501ED109" w14:textId="78B05AA1" w:rsidR="00B556F3" w:rsidRPr="00F56828" w:rsidRDefault="000E09F5" w:rsidP="00E216F8">
      <w:pPr>
        <w:pStyle w:val="ListParagraph"/>
        <w:numPr>
          <w:ilvl w:val="0"/>
          <w:numId w:val="10"/>
        </w:numPr>
        <w:spacing w:after="0" w:line="276" w:lineRule="auto"/>
        <w:jc w:val="left"/>
        <w:rPr>
          <w:szCs w:val="24"/>
        </w:rPr>
      </w:pPr>
      <w:r w:rsidRPr="00137B50">
        <w:rPr>
          <w:szCs w:val="24"/>
        </w:rPr>
        <w:t xml:space="preserve">information </w:t>
      </w:r>
      <w:r w:rsidR="000B3136">
        <w:rPr>
          <w:szCs w:val="24"/>
        </w:rPr>
        <w:t>for</w:t>
      </w:r>
      <w:r w:rsidR="000B3136" w:rsidRPr="00137B50">
        <w:rPr>
          <w:szCs w:val="24"/>
        </w:rPr>
        <w:t xml:space="preserve"> </w:t>
      </w:r>
      <w:r w:rsidRPr="00137B50">
        <w:rPr>
          <w:szCs w:val="24"/>
        </w:rPr>
        <w:t xml:space="preserve">practitioners about </w:t>
      </w:r>
      <w:r w:rsidR="000B3136">
        <w:rPr>
          <w:szCs w:val="24"/>
        </w:rPr>
        <w:t>how to use</w:t>
      </w:r>
      <w:r w:rsidRPr="00137B50">
        <w:rPr>
          <w:szCs w:val="24"/>
        </w:rPr>
        <w:t xml:space="preserve"> the spread</w:t>
      </w:r>
      <w:r w:rsidRPr="00151D79">
        <w:rPr>
          <w:szCs w:val="24"/>
        </w:rPr>
        <w:t xml:space="preserve">sheet </w:t>
      </w:r>
      <w:r w:rsidR="00B556F3" w:rsidRPr="00F56828">
        <w:rPr>
          <w:szCs w:val="24"/>
        </w:rPr>
        <w:t>available on the Authority’s website</w:t>
      </w:r>
      <w:r w:rsidR="00E76688">
        <w:rPr>
          <w:rStyle w:val="FootnoteReference"/>
          <w:szCs w:val="24"/>
        </w:rPr>
        <w:footnoteReference w:id="1"/>
      </w:r>
      <w:r w:rsidR="00B556F3" w:rsidRPr="00F56828">
        <w:rPr>
          <w:szCs w:val="24"/>
        </w:rPr>
        <w:t xml:space="preserve"> for </w:t>
      </w:r>
      <w:r w:rsidRPr="00F56828">
        <w:rPr>
          <w:szCs w:val="24"/>
        </w:rPr>
        <w:t xml:space="preserve">the </w:t>
      </w:r>
      <w:r w:rsidR="00B556F3" w:rsidRPr="00F56828">
        <w:rPr>
          <w:szCs w:val="24"/>
        </w:rPr>
        <w:t xml:space="preserve">calculation </w:t>
      </w:r>
      <w:r w:rsidRPr="00F56828">
        <w:rPr>
          <w:szCs w:val="24"/>
        </w:rPr>
        <w:t xml:space="preserve">and </w:t>
      </w:r>
      <w:r w:rsidR="00625197" w:rsidRPr="00F56828">
        <w:rPr>
          <w:szCs w:val="24"/>
        </w:rPr>
        <w:t>r</w:t>
      </w:r>
      <w:r w:rsidRPr="00F56828">
        <w:rPr>
          <w:szCs w:val="24"/>
        </w:rPr>
        <w:t xml:space="preserve">ecalculation </w:t>
      </w:r>
      <w:r w:rsidR="00B556F3" w:rsidRPr="00F56828">
        <w:rPr>
          <w:szCs w:val="24"/>
        </w:rPr>
        <w:t xml:space="preserve">of the </w:t>
      </w:r>
      <w:r w:rsidR="00625197" w:rsidRPr="00F56828">
        <w:rPr>
          <w:szCs w:val="24"/>
        </w:rPr>
        <w:t xml:space="preserve">scheme-specific </w:t>
      </w:r>
      <w:r w:rsidR="005114E2" w:rsidRPr="00F56828">
        <w:rPr>
          <w:szCs w:val="24"/>
        </w:rPr>
        <w:t xml:space="preserve">risk </w:t>
      </w:r>
      <w:r w:rsidR="00B556F3" w:rsidRPr="00F56828">
        <w:rPr>
          <w:szCs w:val="24"/>
        </w:rPr>
        <w:t xml:space="preserve">measure </w:t>
      </w:r>
      <w:r w:rsidR="00625197" w:rsidRPr="00F56828">
        <w:rPr>
          <w:szCs w:val="24"/>
        </w:rPr>
        <w:t>over time.</w:t>
      </w:r>
    </w:p>
    <w:p w14:paraId="22094E11" w14:textId="77777777" w:rsidR="00737ED0" w:rsidRDefault="00737ED0" w:rsidP="00E216F8">
      <w:pPr>
        <w:spacing w:after="0" w:line="276" w:lineRule="auto"/>
        <w:jc w:val="left"/>
        <w:rPr>
          <w:szCs w:val="24"/>
        </w:rPr>
      </w:pPr>
    </w:p>
    <w:p w14:paraId="6316D61B" w14:textId="36C3955E" w:rsidR="000B3136" w:rsidRDefault="000B3136" w:rsidP="00E216F8">
      <w:pPr>
        <w:spacing w:after="0" w:line="276" w:lineRule="auto"/>
        <w:jc w:val="left"/>
        <w:rPr>
          <w:szCs w:val="24"/>
        </w:rPr>
      </w:pPr>
      <w:r>
        <w:rPr>
          <w:szCs w:val="24"/>
        </w:rPr>
        <w:t>T</w:t>
      </w:r>
      <w:r w:rsidRPr="005114E2">
        <w:rPr>
          <w:szCs w:val="24"/>
        </w:rPr>
        <w:t>h</w:t>
      </w:r>
      <w:r>
        <w:rPr>
          <w:szCs w:val="24"/>
        </w:rPr>
        <w:t xml:space="preserve">e spreadsheet </w:t>
      </w:r>
      <w:r w:rsidRPr="005114E2">
        <w:rPr>
          <w:szCs w:val="24"/>
        </w:rPr>
        <w:t xml:space="preserve">provides an estimate of the risk </w:t>
      </w:r>
      <w:r>
        <w:rPr>
          <w:szCs w:val="24"/>
        </w:rPr>
        <w:t>absorption capacity</w:t>
      </w:r>
      <w:r w:rsidRPr="005114E2">
        <w:rPr>
          <w:szCs w:val="24"/>
        </w:rPr>
        <w:t xml:space="preserve"> of the scheme</w:t>
      </w:r>
      <w:r w:rsidR="007625B5">
        <w:rPr>
          <w:szCs w:val="24"/>
        </w:rPr>
        <w:t>.</w:t>
      </w:r>
      <w:r w:rsidRPr="005E210A">
        <w:rPr>
          <w:szCs w:val="24"/>
        </w:rPr>
        <w:t xml:space="preserve"> </w:t>
      </w:r>
    </w:p>
    <w:p w14:paraId="1E86E94F" w14:textId="77777777" w:rsidR="00DC7864" w:rsidRDefault="00DC7864" w:rsidP="00E216F8">
      <w:pPr>
        <w:spacing w:after="0" w:line="276" w:lineRule="auto"/>
        <w:jc w:val="left"/>
        <w:rPr>
          <w:szCs w:val="24"/>
        </w:rPr>
      </w:pPr>
    </w:p>
    <w:p w14:paraId="76A89556" w14:textId="0E240232" w:rsidR="001868C5" w:rsidRDefault="00B556F3" w:rsidP="00E216F8">
      <w:pPr>
        <w:pStyle w:val="Heading3"/>
        <w:numPr>
          <w:ilvl w:val="2"/>
          <w:numId w:val="14"/>
        </w:numPr>
        <w:ind w:left="567" w:hanging="567"/>
      </w:pPr>
      <w:bookmarkStart w:id="2" w:name="_Toc87976277"/>
      <w:r w:rsidRPr="00E216F8">
        <w:t>The</w:t>
      </w:r>
      <w:r>
        <w:t xml:space="preserve"> </w:t>
      </w:r>
      <w:r w:rsidR="00D65D34">
        <w:t>r</w:t>
      </w:r>
      <w:r w:rsidR="001868C5" w:rsidRPr="001868C5">
        <w:t xml:space="preserve">isk </w:t>
      </w:r>
      <w:r w:rsidR="00D65D34">
        <w:t>m</w:t>
      </w:r>
      <w:r w:rsidR="001868C5" w:rsidRPr="001868C5">
        <w:t>easure</w:t>
      </w:r>
      <w:bookmarkEnd w:id="2"/>
    </w:p>
    <w:p w14:paraId="201B2006" w14:textId="18E4D44B" w:rsidR="00625197" w:rsidRDefault="005019D1" w:rsidP="00E216F8">
      <w:pPr>
        <w:spacing w:after="0" w:line="276" w:lineRule="auto"/>
        <w:jc w:val="left"/>
        <w:rPr>
          <w:szCs w:val="24"/>
        </w:rPr>
      </w:pPr>
      <w:r w:rsidRPr="005E210A">
        <w:rPr>
          <w:szCs w:val="24"/>
        </w:rPr>
        <w:t xml:space="preserve">The </w:t>
      </w:r>
      <w:r w:rsidR="005114E2">
        <w:rPr>
          <w:szCs w:val="24"/>
        </w:rPr>
        <w:t>risk measure</w:t>
      </w:r>
      <w:r w:rsidRPr="005E210A">
        <w:rPr>
          <w:szCs w:val="24"/>
        </w:rPr>
        <w:t xml:space="preserve"> is a</w:t>
      </w:r>
      <w:r w:rsidR="00625197">
        <w:rPr>
          <w:szCs w:val="24"/>
        </w:rPr>
        <w:t xml:space="preserve"> quantitative</w:t>
      </w:r>
      <w:r w:rsidRPr="005E210A">
        <w:rPr>
          <w:szCs w:val="24"/>
        </w:rPr>
        <w:t xml:space="preserve"> estimate of the </w:t>
      </w:r>
      <w:r w:rsidR="00AE4175" w:rsidRPr="005E210A">
        <w:rPr>
          <w:szCs w:val="24"/>
        </w:rPr>
        <w:t xml:space="preserve">ability of </w:t>
      </w:r>
      <w:r w:rsidR="00EA746B">
        <w:rPr>
          <w:szCs w:val="24"/>
        </w:rPr>
        <w:t xml:space="preserve">a </w:t>
      </w:r>
      <w:r w:rsidR="00584439">
        <w:rPr>
          <w:szCs w:val="24"/>
        </w:rPr>
        <w:t>DB</w:t>
      </w:r>
      <w:r w:rsidR="00AE4175" w:rsidRPr="005E210A">
        <w:rPr>
          <w:szCs w:val="24"/>
        </w:rPr>
        <w:t xml:space="preserve"> scheme to absorb financial shocks</w:t>
      </w:r>
      <w:r w:rsidR="00625197">
        <w:rPr>
          <w:szCs w:val="24"/>
        </w:rPr>
        <w:t xml:space="preserve">. More specifically, it provides an estimate of the likelihood </w:t>
      </w:r>
      <w:r w:rsidR="00625197" w:rsidRPr="005E210A">
        <w:rPr>
          <w:szCs w:val="24"/>
        </w:rPr>
        <w:t>that</w:t>
      </w:r>
      <w:r w:rsidR="00625197">
        <w:rPr>
          <w:szCs w:val="24"/>
        </w:rPr>
        <w:t xml:space="preserve"> the scheme will </w:t>
      </w:r>
      <w:r w:rsidR="000B3136">
        <w:rPr>
          <w:szCs w:val="24"/>
        </w:rPr>
        <w:t xml:space="preserve">meet its funding standard and funding standard reserve obligations </w:t>
      </w:r>
      <w:r w:rsidR="00625197">
        <w:rPr>
          <w:szCs w:val="24"/>
        </w:rPr>
        <w:t>and thereby not require</w:t>
      </w:r>
      <w:r w:rsidR="00625197" w:rsidRPr="005E210A">
        <w:rPr>
          <w:szCs w:val="24"/>
        </w:rPr>
        <w:t xml:space="preserve"> </w:t>
      </w:r>
      <w:r w:rsidR="00625197">
        <w:rPr>
          <w:szCs w:val="24"/>
        </w:rPr>
        <w:t>supplemental</w:t>
      </w:r>
      <w:r w:rsidR="00625197" w:rsidRPr="005E210A">
        <w:rPr>
          <w:szCs w:val="24"/>
        </w:rPr>
        <w:t xml:space="preserve"> financial support from the sponsoring employer over a </w:t>
      </w:r>
      <w:r w:rsidR="00FF52F3" w:rsidRPr="00FF52F3">
        <w:rPr>
          <w:szCs w:val="24"/>
        </w:rPr>
        <w:t>one-year time horizon</w:t>
      </w:r>
      <w:r w:rsidR="00625197" w:rsidRPr="005E210A">
        <w:rPr>
          <w:szCs w:val="24"/>
        </w:rPr>
        <w:t>.</w:t>
      </w:r>
    </w:p>
    <w:p w14:paraId="69E00769" w14:textId="77777777" w:rsidR="00584439" w:rsidRPr="005E210A" w:rsidRDefault="00584439" w:rsidP="00E216F8">
      <w:pPr>
        <w:spacing w:after="0" w:line="276" w:lineRule="auto"/>
        <w:jc w:val="left"/>
        <w:rPr>
          <w:szCs w:val="24"/>
        </w:rPr>
      </w:pPr>
    </w:p>
    <w:p w14:paraId="41D26AF3" w14:textId="52894852" w:rsidR="00AE4175" w:rsidRDefault="00AE4175" w:rsidP="00E216F8">
      <w:pPr>
        <w:spacing w:after="0" w:line="276" w:lineRule="auto"/>
        <w:jc w:val="left"/>
        <w:rPr>
          <w:szCs w:val="24"/>
        </w:rPr>
      </w:pPr>
      <w:r w:rsidRPr="005E210A">
        <w:rPr>
          <w:szCs w:val="24"/>
        </w:rPr>
        <w:t>The ability to absorb financial shocks is expressed in percentage terms, e.g., a scheme that has a risk measure of 9</w:t>
      </w:r>
      <w:r w:rsidR="00666160" w:rsidRPr="005E210A">
        <w:rPr>
          <w:szCs w:val="24"/>
        </w:rPr>
        <w:t>0</w:t>
      </w:r>
      <w:r w:rsidRPr="005E210A">
        <w:rPr>
          <w:szCs w:val="24"/>
        </w:rPr>
        <w:t xml:space="preserve">% is expected to </w:t>
      </w:r>
      <w:r w:rsidR="00666160" w:rsidRPr="005E210A">
        <w:rPr>
          <w:szCs w:val="24"/>
        </w:rPr>
        <w:t xml:space="preserve">be able to absorb, without </w:t>
      </w:r>
      <w:r w:rsidR="00FF52F3">
        <w:rPr>
          <w:szCs w:val="24"/>
        </w:rPr>
        <w:t>supplemental</w:t>
      </w:r>
      <w:r w:rsidR="00FF52F3" w:rsidRPr="005E210A">
        <w:rPr>
          <w:szCs w:val="24"/>
        </w:rPr>
        <w:t xml:space="preserve"> </w:t>
      </w:r>
      <w:r w:rsidR="00666160" w:rsidRPr="005E210A">
        <w:rPr>
          <w:szCs w:val="24"/>
        </w:rPr>
        <w:t xml:space="preserve">support, financial shocks arising </w:t>
      </w:r>
      <w:r w:rsidR="008F1482" w:rsidRPr="008F1482">
        <w:rPr>
          <w:szCs w:val="24"/>
        </w:rPr>
        <w:t>in 9 out of 10 calendar years</w:t>
      </w:r>
      <w:r w:rsidR="008F1482">
        <w:rPr>
          <w:szCs w:val="24"/>
        </w:rPr>
        <w:t>.</w:t>
      </w:r>
    </w:p>
    <w:p w14:paraId="77A85152" w14:textId="77777777" w:rsidR="00584439" w:rsidRPr="005E210A" w:rsidRDefault="00584439" w:rsidP="00E216F8">
      <w:pPr>
        <w:spacing w:after="0" w:line="276" w:lineRule="auto"/>
        <w:jc w:val="left"/>
        <w:rPr>
          <w:szCs w:val="24"/>
        </w:rPr>
      </w:pPr>
    </w:p>
    <w:p w14:paraId="36CA507F" w14:textId="1DB0FE2A" w:rsidR="00D873C6" w:rsidRDefault="00D873C6" w:rsidP="00E216F8">
      <w:pPr>
        <w:spacing w:after="0" w:line="276" w:lineRule="auto"/>
        <w:jc w:val="left"/>
        <w:rPr>
          <w:szCs w:val="24"/>
        </w:rPr>
      </w:pPr>
      <w:r w:rsidRPr="005E210A">
        <w:rPr>
          <w:szCs w:val="24"/>
        </w:rPr>
        <w:t>The spreadsheet</w:t>
      </w:r>
      <w:r w:rsidR="00EA746B">
        <w:rPr>
          <w:szCs w:val="24"/>
        </w:rPr>
        <w:t xml:space="preserve"> </w:t>
      </w:r>
      <w:r w:rsidRPr="005E210A">
        <w:rPr>
          <w:szCs w:val="24"/>
        </w:rPr>
        <w:t>available on the Authority’s website facilitates these calculations.</w:t>
      </w:r>
    </w:p>
    <w:p w14:paraId="6233DEB9" w14:textId="77777777" w:rsidR="00DC7864" w:rsidRDefault="00DC7864" w:rsidP="00E216F8">
      <w:pPr>
        <w:spacing w:after="0" w:line="276" w:lineRule="auto"/>
        <w:jc w:val="left"/>
        <w:rPr>
          <w:szCs w:val="24"/>
        </w:rPr>
      </w:pPr>
    </w:p>
    <w:p w14:paraId="0399DD4B" w14:textId="77777777" w:rsidR="0005330C" w:rsidRPr="0005330C" w:rsidRDefault="0005330C" w:rsidP="0005330C">
      <w:pPr>
        <w:pStyle w:val="ListParagraph"/>
        <w:keepNext/>
        <w:keepLines/>
        <w:numPr>
          <w:ilvl w:val="0"/>
          <w:numId w:val="14"/>
        </w:numPr>
        <w:spacing w:before="40" w:after="0"/>
        <w:contextualSpacing w:val="0"/>
        <w:jc w:val="left"/>
        <w:outlineLvl w:val="3"/>
        <w:rPr>
          <w:rFonts w:eastAsiaTheme="majorEastAsia" w:cstheme="majorBidi"/>
          <w:b/>
          <w:iCs/>
          <w:vanish/>
        </w:rPr>
      </w:pPr>
      <w:bookmarkStart w:id="3" w:name="_Toc87976278"/>
    </w:p>
    <w:p w14:paraId="3FEBE38C" w14:textId="4DFCDD21" w:rsidR="0021341F" w:rsidRPr="00E216F8" w:rsidRDefault="00E216F8" w:rsidP="0005330C">
      <w:pPr>
        <w:pStyle w:val="Heading4"/>
      </w:pPr>
      <w:r>
        <w:tab/>
      </w:r>
      <w:r w:rsidR="0021341F" w:rsidRPr="00E216F8">
        <w:t>Risk modules</w:t>
      </w:r>
      <w:bookmarkEnd w:id="3"/>
    </w:p>
    <w:p w14:paraId="30EC55BC" w14:textId="51CEF053" w:rsidR="0021341F" w:rsidRDefault="00F60219" w:rsidP="00E216F8">
      <w:pPr>
        <w:spacing w:after="0" w:line="276" w:lineRule="auto"/>
        <w:jc w:val="left"/>
        <w:rPr>
          <w:szCs w:val="24"/>
        </w:rPr>
      </w:pPr>
      <w:r>
        <w:rPr>
          <w:szCs w:val="24"/>
        </w:rPr>
        <w:t>T</w:t>
      </w:r>
      <w:r w:rsidR="007A6BD5">
        <w:rPr>
          <w:szCs w:val="24"/>
        </w:rPr>
        <w:t xml:space="preserve">here are many risks that can have a negative impact on a scheme’s finances, by </w:t>
      </w:r>
      <w:r w:rsidR="00380EF8">
        <w:rPr>
          <w:szCs w:val="24"/>
        </w:rPr>
        <w:t xml:space="preserve">affecting </w:t>
      </w:r>
      <w:r w:rsidR="007A6BD5">
        <w:rPr>
          <w:szCs w:val="24"/>
        </w:rPr>
        <w:t xml:space="preserve">asset and liability values, e.g., the </w:t>
      </w:r>
      <w:r w:rsidR="007A6BD5" w:rsidRPr="00767444">
        <w:rPr>
          <w:szCs w:val="24"/>
        </w:rPr>
        <w:t xml:space="preserve">change in the value of assets and liabilities caused by </w:t>
      </w:r>
      <w:r w:rsidR="007A6BD5">
        <w:rPr>
          <w:szCs w:val="24"/>
        </w:rPr>
        <w:t xml:space="preserve">downward </w:t>
      </w:r>
      <w:r w:rsidR="007A6BD5" w:rsidRPr="00767444">
        <w:rPr>
          <w:szCs w:val="24"/>
        </w:rPr>
        <w:t>changes in the level o</w:t>
      </w:r>
      <w:r w:rsidR="007A6BD5">
        <w:rPr>
          <w:szCs w:val="24"/>
        </w:rPr>
        <w:t xml:space="preserve">f the yield curve. </w:t>
      </w:r>
      <w:r w:rsidR="008C5989" w:rsidRPr="005E210A">
        <w:rPr>
          <w:szCs w:val="24"/>
        </w:rPr>
        <w:t xml:space="preserve">The </w:t>
      </w:r>
      <w:r w:rsidR="007A6BD5">
        <w:rPr>
          <w:szCs w:val="24"/>
        </w:rPr>
        <w:t xml:space="preserve">six </w:t>
      </w:r>
      <w:r w:rsidR="008C5989" w:rsidRPr="005E210A">
        <w:rPr>
          <w:szCs w:val="24"/>
        </w:rPr>
        <w:t xml:space="preserve">risk modules considered under the </w:t>
      </w:r>
      <w:r w:rsidR="005114E2">
        <w:rPr>
          <w:szCs w:val="24"/>
        </w:rPr>
        <w:t>risk measure</w:t>
      </w:r>
      <w:r w:rsidR="008C5989" w:rsidRPr="005E210A">
        <w:rPr>
          <w:szCs w:val="24"/>
        </w:rPr>
        <w:t xml:space="preserve"> </w:t>
      </w:r>
      <w:r w:rsidR="008D45FA">
        <w:rPr>
          <w:szCs w:val="24"/>
        </w:rPr>
        <w:t>comprise</w:t>
      </w:r>
      <w:r w:rsidR="007A6BD5">
        <w:rPr>
          <w:szCs w:val="24"/>
        </w:rPr>
        <w:t xml:space="preserve"> five market risks and one non-market risk (longevity)</w:t>
      </w:r>
      <w:r w:rsidR="00987F00">
        <w:rPr>
          <w:szCs w:val="24"/>
        </w:rPr>
        <w:t>:</w:t>
      </w:r>
    </w:p>
    <w:p w14:paraId="0122C25D" w14:textId="785F1682" w:rsidR="00621FDC" w:rsidRDefault="00621FDC" w:rsidP="00E216F8">
      <w:pPr>
        <w:spacing w:after="0" w:line="276" w:lineRule="auto"/>
        <w:jc w:val="left"/>
        <w:rPr>
          <w:szCs w:val="24"/>
        </w:rPr>
      </w:pPr>
    </w:p>
    <w:p w14:paraId="59AA63A6" w14:textId="5CA439D1" w:rsidR="00DD2B9D" w:rsidRPr="00A46DA4" w:rsidRDefault="00DD2B9D" w:rsidP="00E216F8">
      <w:pPr>
        <w:spacing w:after="0" w:line="276" w:lineRule="auto"/>
        <w:jc w:val="left"/>
        <w:rPr>
          <w:b/>
          <w:bCs/>
          <w:szCs w:val="24"/>
        </w:rPr>
      </w:pPr>
      <w:r w:rsidRPr="00A46DA4">
        <w:rPr>
          <w:b/>
          <w:bCs/>
          <w:szCs w:val="24"/>
        </w:rPr>
        <w:t xml:space="preserve">Table </w:t>
      </w:r>
      <w:r>
        <w:rPr>
          <w:b/>
          <w:bCs/>
          <w:szCs w:val="24"/>
        </w:rPr>
        <w:t>1</w:t>
      </w:r>
      <w:r w:rsidRPr="00A46DA4">
        <w:rPr>
          <w:b/>
          <w:bCs/>
          <w:szCs w:val="24"/>
        </w:rPr>
        <w:t xml:space="preserve"> </w:t>
      </w:r>
      <w:r>
        <w:rPr>
          <w:b/>
          <w:bCs/>
          <w:szCs w:val="24"/>
        </w:rPr>
        <w:t>Risk modules</w:t>
      </w:r>
    </w:p>
    <w:tbl>
      <w:tblPr>
        <w:tblStyle w:val="TableGrid1"/>
        <w:tblW w:w="0" w:type="auto"/>
        <w:tblInd w:w="0" w:type="dxa"/>
        <w:tblLook w:val="04A0" w:firstRow="1" w:lastRow="0" w:firstColumn="1" w:lastColumn="0" w:noHBand="0" w:noVBand="1"/>
      </w:tblPr>
      <w:tblGrid>
        <w:gridCol w:w="2405"/>
        <w:gridCol w:w="6611"/>
      </w:tblGrid>
      <w:tr w:rsidR="00621FDC" w:rsidRPr="00621FDC" w14:paraId="64A28A23" w14:textId="77777777" w:rsidTr="00621FDC">
        <w:trPr>
          <w:trHeight w:val="450"/>
        </w:trPr>
        <w:tc>
          <w:tcPr>
            <w:tcW w:w="240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D31063C" w14:textId="77777777" w:rsidR="00621FDC" w:rsidRPr="00621FDC" w:rsidRDefault="00621FDC" w:rsidP="00E216F8">
            <w:pPr>
              <w:spacing w:after="0" w:line="276" w:lineRule="auto"/>
              <w:jc w:val="left"/>
              <w:rPr>
                <w:rFonts w:eastAsia="Calibri" w:cs="Times New Roman"/>
                <w:b/>
                <w:bCs/>
                <w:sz w:val="22"/>
              </w:rPr>
            </w:pPr>
            <w:r w:rsidRPr="00621FDC">
              <w:rPr>
                <w:rFonts w:eastAsia="Calibri" w:cs="Times New Roman"/>
                <w:b/>
                <w:bCs/>
                <w:sz w:val="22"/>
              </w:rPr>
              <w:t>Risk module</w:t>
            </w:r>
          </w:p>
        </w:tc>
        <w:tc>
          <w:tcPr>
            <w:tcW w:w="6611" w:type="dxa"/>
            <w:tcBorders>
              <w:top w:val="single" w:sz="4" w:space="0" w:color="auto"/>
              <w:left w:val="single" w:sz="4" w:space="0" w:color="auto"/>
              <w:bottom w:val="single" w:sz="4" w:space="0" w:color="auto"/>
              <w:right w:val="single" w:sz="4" w:space="0" w:color="auto"/>
            </w:tcBorders>
            <w:shd w:val="clear" w:color="auto" w:fill="002060"/>
            <w:vAlign w:val="center"/>
          </w:tcPr>
          <w:p w14:paraId="1CC8F66E" w14:textId="77777777" w:rsidR="00621FDC" w:rsidRPr="00621FDC" w:rsidRDefault="00621FDC" w:rsidP="00E216F8">
            <w:pPr>
              <w:spacing w:after="0" w:line="276" w:lineRule="auto"/>
              <w:jc w:val="left"/>
              <w:rPr>
                <w:rFonts w:eastAsia="Calibri" w:cs="Times New Roman"/>
                <w:b/>
                <w:bCs/>
                <w:sz w:val="22"/>
              </w:rPr>
            </w:pPr>
            <w:r w:rsidRPr="00621FDC">
              <w:rPr>
                <w:rFonts w:eastAsia="Calibri" w:cs="Times New Roman"/>
                <w:b/>
                <w:bCs/>
                <w:sz w:val="22"/>
              </w:rPr>
              <w:t xml:space="preserve">Application </w:t>
            </w:r>
          </w:p>
        </w:tc>
      </w:tr>
      <w:tr w:rsidR="00621FDC" w:rsidRPr="00621FDC" w14:paraId="724CD2E6" w14:textId="77777777" w:rsidTr="004B5EF0">
        <w:trPr>
          <w:trHeight w:val="413"/>
        </w:trPr>
        <w:tc>
          <w:tcPr>
            <w:tcW w:w="2405" w:type="dxa"/>
            <w:tcBorders>
              <w:top w:val="single" w:sz="4" w:space="0" w:color="auto"/>
              <w:left w:val="single" w:sz="4" w:space="0" w:color="auto"/>
              <w:bottom w:val="single" w:sz="4" w:space="0" w:color="auto"/>
              <w:right w:val="single" w:sz="4" w:space="0" w:color="auto"/>
            </w:tcBorders>
            <w:vAlign w:val="center"/>
            <w:hideMark/>
          </w:tcPr>
          <w:p w14:paraId="4A9A590D" w14:textId="77777777" w:rsidR="00621FDC" w:rsidRPr="00621FDC" w:rsidRDefault="00621FDC" w:rsidP="00E216F8">
            <w:pPr>
              <w:spacing w:after="0" w:line="276" w:lineRule="auto"/>
              <w:jc w:val="left"/>
              <w:rPr>
                <w:rFonts w:eastAsia="Calibri" w:cs="Times New Roman"/>
                <w:color w:val="FF0000"/>
                <w:sz w:val="22"/>
              </w:rPr>
            </w:pPr>
            <w:r w:rsidRPr="00621FDC">
              <w:rPr>
                <w:rFonts w:eastAsia="Calibri" w:cs="Times New Roman"/>
                <w:sz w:val="22"/>
              </w:rPr>
              <w:t>Equity market risk</w:t>
            </w:r>
          </w:p>
        </w:tc>
        <w:tc>
          <w:tcPr>
            <w:tcW w:w="6611" w:type="dxa"/>
            <w:tcBorders>
              <w:top w:val="single" w:sz="4" w:space="0" w:color="auto"/>
              <w:left w:val="single" w:sz="4" w:space="0" w:color="auto"/>
              <w:bottom w:val="single" w:sz="4" w:space="0" w:color="auto"/>
              <w:right w:val="single" w:sz="4" w:space="0" w:color="auto"/>
            </w:tcBorders>
            <w:vAlign w:val="center"/>
          </w:tcPr>
          <w:p w14:paraId="0E0BB5DF" w14:textId="11965E46" w:rsidR="00621FDC" w:rsidRPr="00621FDC" w:rsidRDefault="00621FDC" w:rsidP="00E216F8">
            <w:pPr>
              <w:spacing w:after="0" w:line="276" w:lineRule="auto"/>
              <w:jc w:val="left"/>
              <w:rPr>
                <w:rFonts w:eastAsia="Calibri" w:cs="Times New Roman"/>
                <w:sz w:val="22"/>
              </w:rPr>
            </w:pPr>
            <w:r w:rsidRPr="00621FDC">
              <w:rPr>
                <w:rFonts w:eastAsia="Calibri" w:cs="Times New Roman"/>
                <w:sz w:val="22"/>
              </w:rPr>
              <w:t>Equity portfolios that are broadly invested and globally diversified.</w:t>
            </w:r>
          </w:p>
        </w:tc>
      </w:tr>
      <w:tr w:rsidR="00621FDC" w:rsidRPr="00621FDC" w14:paraId="063F5EB9" w14:textId="77777777" w:rsidTr="004B5EF0">
        <w:trPr>
          <w:trHeight w:val="561"/>
        </w:trPr>
        <w:tc>
          <w:tcPr>
            <w:tcW w:w="2405" w:type="dxa"/>
            <w:tcBorders>
              <w:top w:val="single" w:sz="4" w:space="0" w:color="auto"/>
              <w:left w:val="single" w:sz="4" w:space="0" w:color="auto"/>
              <w:bottom w:val="single" w:sz="4" w:space="0" w:color="auto"/>
              <w:right w:val="single" w:sz="4" w:space="0" w:color="auto"/>
            </w:tcBorders>
            <w:vAlign w:val="center"/>
            <w:hideMark/>
          </w:tcPr>
          <w:p w14:paraId="0843A5D0" w14:textId="77777777" w:rsidR="00621FDC" w:rsidRPr="00621FDC" w:rsidRDefault="00621FDC" w:rsidP="00E216F8">
            <w:pPr>
              <w:spacing w:after="0" w:line="276" w:lineRule="auto"/>
              <w:jc w:val="left"/>
              <w:rPr>
                <w:rFonts w:eastAsia="Calibri" w:cs="Times New Roman"/>
                <w:color w:val="FF0000"/>
                <w:sz w:val="22"/>
              </w:rPr>
            </w:pPr>
            <w:r w:rsidRPr="00621FDC">
              <w:rPr>
                <w:rFonts w:eastAsia="Calibri" w:cs="Times New Roman"/>
                <w:sz w:val="22"/>
              </w:rPr>
              <w:t>Interest rate risk</w:t>
            </w:r>
          </w:p>
        </w:tc>
        <w:tc>
          <w:tcPr>
            <w:tcW w:w="6611" w:type="dxa"/>
            <w:tcBorders>
              <w:top w:val="single" w:sz="4" w:space="0" w:color="auto"/>
              <w:left w:val="single" w:sz="4" w:space="0" w:color="auto"/>
              <w:bottom w:val="single" w:sz="4" w:space="0" w:color="auto"/>
              <w:right w:val="single" w:sz="4" w:space="0" w:color="auto"/>
            </w:tcBorders>
            <w:vAlign w:val="center"/>
            <w:hideMark/>
          </w:tcPr>
          <w:p w14:paraId="263CD18A" w14:textId="22266565" w:rsidR="00621FDC" w:rsidRPr="00621FDC" w:rsidRDefault="00621FDC" w:rsidP="00E216F8">
            <w:pPr>
              <w:spacing w:after="0" w:line="276" w:lineRule="auto"/>
              <w:jc w:val="left"/>
              <w:rPr>
                <w:rFonts w:eastAsia="Calibri" w:cs="Times New Roman"/>
                <w:color w:val="FF0000"/>
                <w:sz w:val="22"/>
              </w:rPr>
            </w:pPr>
            <w:r w:rsidRPr="00621FDC">
              <w:rPr>
                <w:rFonts w:eastAsia="Calibri" w:cs="Times New Roman"/>
                <w:sz w:val="22"/>
              </w:rPr>
              <w:t>Fixed rate instruments (corporate and government bonds) and interest rate derivatives.</w:t>
            </w:r>
          </w:p>
        </w:tc>
      </w:tr>
      <w:tr w:rsidR="00621FDC" w:rsidRPr="00621FDC" w14:paraId="4A7F003E" w14:textId="77777777" w:rsidTr="004B5EF0">
        <w:trPr>
          <w:trHeight w:val="966"/>
        </w:trPr>
        <w:tc>
          <w:tcPr>
            <w:tcW w:w="2405" w:type="dxa"/>
            <w:tcBorders>
              <w:top w:val="single" w:sz="4" w:space="0" w:color="auto"/>
              <w:left w:val="single" w:sz="4" w:space="0" w:color="auto"/>
              <w:bottom w:val="single" w:sz="4" w:space="0" w:color="auto"/>
              <w:right w:val="single" w:sz="4" w:space="0" w:color="auto"/>
            </w:tcBorders>
            <w:vAlign w:val="center"/>
            <w:hideMark/>
          </w:tcPr>
          <w:p w14:paraId="48218C8A" w14:textId="77777777" w:rsidR="00621FDC" w:rsidRPr="00621FDC" w:rsidRDefault="00621FDC" w:rsidP="00E216F8">
            <w:pPr>
              <w:spacing w:after="0" w:line="276" w:lineRule="auto"/>
              <w:jc w:val="left"/>
              <w:rPr>
                <w:rFonts w:eastAsia="Calibri" w:cs="Times New Roman"/>
                <w:color w:val="FF0000"/>
                <w:sz w:val="22"/>
              </w:rPr>
            </w:pPr>
            <w:r w:rsidRPr="00621FDC">
              <w:rPr>
                <w:rFonts w:eastAsia="Calibri" w:cs="Times New Roman"/>
                <w:sz w:val="22"/>
              </w:rPr>
              <w:lastRenderedPageBreak/>
              <w:t>Spread or credit risk</w:t>
            </w:r>
          </w:p>
        </w:tc>
        <w:tc>
          <w:tcPr>
            <w:tcW w:w="6611" w:type="dxa"/>
            <w:tcBorders>
              <w:top w:val="single" w:sz="4" w:space="0" w:color="auto"/>
              <w:left w:val="single" w:sz="4" w:space="0" w:color="auto"/>
              <w:bottom w:val="single" w:sz="4" w:space="0" w:color="auto"/>
              <w:right w:val="single" w:sz="4" w:space="0" w:color="auto"/>
            </w:tcBorders>
            <w:vAlign w:val="center"/>
            <w:hideMark/>
          </w:tcPr>
          <w:p w14:paraId="4A195FDA" w14:textId="77777777" w:rsidR="00621FDC" w:rsidRPr="00621FDC" w:rsidRDefault="00621FDC" w:rsidP="00E216F8">
            <w:pPr>
              <w:spacing w:after="0" w:line="276" w:lineRule="auto"/>
              <w:jc w:val="left"/>
              <w:rPr>
                <w:rFonts w:eastAsia="Calibri" w:cs="Times New Roman"/>
                <w:color w:val="FF0000"/>
                <w:sz w:val="22"/>
              </w:rPr>
            </w:pPr>
            <w:r w:rsidRPr="00621FDC">
              <w:rPr>
                <w:rFonts w:eastAsia="Calibri" w:cs="Times New Roman"/>
                <w:sz w:val="22"/>
              </w:rPr>
              <w:t>Corporate bonds only, and not sovereign bonds. The parameters for this risk module vary depending on the credit ratings of the individual corporate bonds</w:t>
            </w:r>
          </w:p>
        </w:tc>
      </w:tr>
      <w:tr w:rsidR="00621FDC" w:rsidRPr="00621FDC" w14:paraId="3A8DFEAC" w14:textId="77777777" w:rsidTr="00A46DA4">
        <w:trPr>
          <w:trHeight w:val="422"/>
        </w:trPr>
        <w:tc>
          <w:tcPr>
            <w:tcW w:w="2405" w:type="dxa"/>
            <w:tcBorders>
              <w:top w:val="single" w:sz="4" w:space="0" w:color="auto"/>
              <w:left w:val="single" w:sz="4" w:space="0" w:color="auto"/>
              <w:bottom w:val="single" w:sz="4" w:space="0" w:color="auto"/>
              <w:right w:val="single" w:sz="4" w:space="0" w:color="auto"/>
            </w:tcBorders>
            <w:vAlign w:val="center"/>
            <w:hideMark/>
          </w:tcPr>
          <w:p w14:paraId="05392065" w14:textId="77777777" w:rsidR="00621FDC" w:rsidRPr="00621FDC" w:rsidRDefault="00621FDC" w:rsidP="00E216F8">
            <w:pPr>
              <w:spacing w:after="0" w:line="276" w:lineRule="auto"/>
              <w:jc w:val="left"/>
              <w:rPr>
                <w:rFonts w:eastAsia="Calibri" w:cs="Times New Roman"/>
                <w:color w:val="FF0000"/>
                <w:sz w:val="22"/>
              </w:rPr>
            </w:pPr>
            <w:r w:rsidRPr="00621FDC">
              <w:rPr>
                <w:rFonts w:eastAsia="Calibri" w:cs="Times New Roman"/>
                <w:sz w:val="22"/>
              </w:rPr>
              <w:t>Property risk</w:t>
            </w:r>
          </w:p>
        </w:tc>
        <w:tc>
          <w:tcPr>
            <w:tcW w:w="6611" w:type="dxa"/>
            <w:tcBorders>
              <w:top w:val="single" w:sz="4" w:space="0" w:color="auto"/>
              <w:left w:val="single" w:sz="4" w:space="0" w:color="auto"/>
              <w:bottom w:val="single" w:sz="4" w:space="0" w:color="auto"/>
              <w:right w:val="single" w:sz="4" w:space="0" w:color="auto"/>
            </w:tcBorders>
            <w:vAlign w:val="center"/>
          </w:tcPr>
          <w:p w14:paraId="3D59D6B0" w14:textId="50AB6F68" w:rsidR="00621FDC" w:rsidRPr="00621FDC" w:rsidRDefault="00621FDC" w:rsidP="00E216F8">
            <w:pPr>
              <w:spacing w:after="0" w:line="276" w:lineRule="auto"/>
              <w:jc w:val="left"/>
              <w:rPr>
                <w:rFonts w:eastAsia="Calibri" w:cs="Times New Roman"/>
                <w:sz w:val="22"/>
              </w:rPr>
            </w:pPr>
            <w:r w:rsidRPr="00621FDC">
              <w:rPr>
                <w:rFonts w:eastAsia="Calibri" w:cs="Times New Roman"/>
                <w:sz w:val="22"/>
              </w:rPr>
              <w:t>Property portfolios that are broadly invested and diversified.</w:t>
            </w:r>
          </w:p>
        </w:tc>
      </w:tr>
      <w:tr w:rsidR="00621FDC" w:rsidRPr="00621FDC" w14:paraId="20F85D38" w14:textId="77777777" w:rsidTr="004B5EF0">
        <w:trPr>
          <w:trHeight w:val="405"/>
        </w:trPr>
        <w:tc>
          <w:tcPr>
            <w:tcW w:w="2405" w:type="dxa"/>
            <w:tcBorders>
              <w:top w:val="single" w:sz="4" w:space="0" w:color="auto"/>
              <w:left w:val="single" w:sz="4" w:space="0" w:color="auto"/>
              <w:bottom w:val="single" w:sz="4" w:space="0" w:color="auto"/>
              <w:right w:val="single" w:sz="4" w:space="0" w:color="auto"/>
            </w:tcBorders>
            <w:vAlign w:val="center"/>
            <w:hideMark/>
          </w:tcPr>
          <w:p w14:paraId="746FD310" w14:textId="77777777" w:rsidR="00621FDC" w:rsidRPr="00621FDC" w:rsidRDefault="00621FDC" w:rsidP="00E216F8">
            <w:pPr>
              <w:spacing w:after="0" w:line="276" w:lineRule="auto"/>
              <w:jc w:val="left"/>
              <w:rPr>
                <w:rFonts w:eastAsia="Calibri" w:cs="Times New Roman"/>
                <w:color w:val="FF0000"/>
                <w:sz w:val="22"/>
              </w:rPr>
            </w:pPr>
            <w:r w:rsidRPr="00621FDC">
              <w:rPr>
                <w:rFonts w:eastAsia="Calibri" w:cs="Times New Roman"/>
                <w:sz w:val="22"/>
              </w:rPr>
              <w:t>Currency risk</w:t>
            </w:r>
          </w:p>
        </w:tc>
        <w:tc>
          <w:tcPr>
            <w:tcW w:w="6611" w:type="dxa"/>
            <w:tcBorders>
              <w:top w:val="single" w:sz="4" w:space="0" w:color="auto"/>
              <w:left w:val="single" w:sz="4" w:space="0" w:color="auto"/>
              <w:bottom w:val="single" w:sz="4" w:space="0" w:color="auto"/>
              <w:right w:val="single" w:sz="4" w:space="0" w:color="auto"/>
            </w:tcBorders>
            <w:vAlign w:val="center"/>
            <w:hideMark/>
          </w:tcPr>
          <w:p w14:paraId="01011111" w14:textId="77777777" w:rsidR="00621FDC" w:rsidRPr="00621FDC" w:rsidRDefault="00621FDC" w:rsidP="00E216F8">
            <w:pPr>
              <w:spacing w:after="0" w:line="276" w:lineRule="auto"/>
              <w:jc w:val="left"/>
              <w:rPr>
                <w:rFonts w:eastAsia="Calibri" w:cs="Times New Roman"/>
                <w:color w:val="FF0000"/>
                <w:sz w:val="22"/>
              </w:rPr>
            </w:pPr>
            <w:r w:rsidRPr="00621FDC">
              <w:rPr>
                <w:rFonts w:eastAsia="Calibri" w:cs="Times New Roman"/>
                <w:sz w:val="22"/>
              </w:rPr>
              <w:t>Non-euro denominated holdings.</w:t>
            </w:r>
          </w:p>
        </w:tc>
      </w:tr>
      <w:tr w:rsidR="00621FDC" w:rsidRPr="00621FDC" w14:paraId="4BDF855A" w14:textId="77777777" w:rsidTr="00217AEF">
        <w:trPr>
          <w:trHeight w:val="977"/>
        </w:trPr>
        <w:tc>
          <w:tcPr>
            <w:tcW w:w="2405" w:type="dxa"/>
            <w:tcBorders>
              <w:top w:val="single" w:sz="4" w:space="0" w:color="auto"/>
              <w:left w:val="single" w:sz="4" w:space="0" w:color="auto"/>
              <w:bottom w:val="single" w:sz="4" w:space="0" w:color="auto"/>
              <w:right w:val="single" w:sz="4" w:space="0" w:color="auto"/>
            </w:tcBorders>
            <w:vAlign w:val="center"/>
            <w:hideMark/>
          </w:tcPr>
          <w:p w14:paraId="731CEEFB" w14:textId="7E709958" w:rsidR="00621FDC" w:rsidRPr="00621FDC" w:rsidRDefault="00621FDC" w:rsidP="00E216F8">
            <w:pPr>
              <w:spacing w:after="0" w:line="276" w:lineRule="auto"/>
              <w:jc w:val="left"/>
              <w:rPr>
                <w:rFonts w:eastAsia="Calibri" w:cs="Times New Roman"/>
                <w:sz w:val="22"/>
              </w:rPr>
            </w:pPr>
            <w:r w:rsidRPr="00621FDC">
              <w:rPr>
                <w:rFonts w:eastAsia="Calibri" w:cs="Times New Roman"/>
                <w:sz w:val="22"/>
              </w:rPr>
              <w:t xml:space="preserve">Longevity risk (also known </w:t>
            </w:r>
            <w:r w:rsidR="00BA7098">
              <w:rPr>
                <w:rFonts w:eastAsia="Calibri" w:cs="Times New Roman"/>
                <w:sz w:val="22"/>
              </w:rPr>
              <w:t xml:space="preserve">as </w:t>
            </w:r>
            <w:r w:rsidRPr="00621FDC">
              <w:rPr>
                <w:rFonts w:eastAsia="Calibri" w:cs="Times New Roman"/>
                <w:sz w:val="22"/>
              </w:rPr>
              <w:t>mortality risk)</w:t>
            </w:r>
          </w:p>
        </w:tc>
        <w:tc>
          <w:tcPr>
            <w:tcW w:w="6611" w:type="dxa"/>
            <w:tcBorders>
              <w:top w:val="single" w:sz="4" w:space="0" w:color="auto"/>
              <w:left w:val="single" w:sz="4" w:space="0" w:color="auto"/>
              <w:bottom w:val="single" w:sz="4" w:space="0" w:color="auto"/>
              <w:right w:val="single" w:sz="4" w:space="0" w:color="auto"/>
            </w:tcBorders>
            <w:vAlign w:val="center"/>
          </w:tcPr>
          <w:p w14:paraId="3808FD05" w14:textId="77777777" w:rsidR="00621FDC" w:rsidRPr="00621FDC" w:rsidRDefault="00621FDC" w:rsidP="00E216F8">
            <w:pPr>
              <w:spacing w:after="0" w:line="276" w:lineRule="auto"/>
              <w:jc w:val="left"/>
              <w:rPr>
                <w:rFonts w:eastAsia="Calibri" w:cs="Times New Roman"/>
                <w:sz w:val="22"/>
              </w:rPr>
            </w:pPr>
            <w:r w:rsidRPr="00621FDC">
              <w:rPr>
                <w:rFonts w:eastAsia="Calibri" w:cs="Times New Roman"/>
                <w:sz w:val="22"/>
              </w:rPr>
              <w:t>Pensions in payment. Owing to the time it would take for longevity changes to be reflected in the statutory minimum transfer value basis it is assumed to have no impact on non-pensioner liabilities.</w:t>
            </w:r>
          </w:p>
        </w:tc>
      </w:tr>
    </w:tbl>
    <w:p w14:paraId="3312E9AB" w14:textId="779B24EA" w:rsidR="00621FDC" w:rsidRDefault="00621FDC" w:rsidP="00E216F8">
      <w:pPr>
        <w:spacing w:after="0" w:line="276" w:lineRule="auto"/>
        <w:jc w:val="left"/>
        <w:rPr>
          <w:szCs w:val="24"/>
        </w:rPr>
      </w:pPr>
    </w:p>
    <w:p w14:paraId="081B876D" w14:textId="77777777" w:rsidR="00E216F8" w:rsidRPr="00E216F8" w:rsidRDefault="00E216F8" w:rsidP="00E216F8">
      <w:pPr>
        <w:pStyle w:val="ListParagraph"/>
        <w:keepNext/>
        <w:keepLines/>
        <w:numPr>
          <w:ilvl w:val="0"/>
          <w:numId w:val="21"/>
        </w:numPr>
        <w:spacing w:before="40" w:after="0"/>
        <w:contextualSpacing w:val="0"/>
        <w:jc w:val="left"/>
        <w:outlineLvl w:val="3"/>
        <w:rPr>
          <w:rFonts w:eastAsiaTheme="majorEastAsia" w:cstheme="majorBidi"/>
          <w:b/>
          <w:iCs/>
          <w:vanish/>
        </w:rPr>
      </w:pPr>
      <w:bookmarkStart w:id="4" w:name="_Toc87976279"/>
    </w:p>
    <w:p w14:paraId="1E771FEB" w14:textId="4C1CCE1A" w:rsidR="00325D11" w:rsidRPr="00E216F8" w:rsidRDefault="00325D11" w:rsidP="0005330C">
      <w:pPr>
        <w:pStyle w:val="Heading4"/>
        <w:numPr>
          <w:ilvl w:val="1"/>
          <w:numId w:val="21"/>
        </w:numPr>
      </w:pPr>
      <w:r w:rsidRPr="00E216F8">
        <w:t>Shock size</w:t>
      </w:r>
      <w:bookmarkEnd w:id="4"/>
    </w:p>
    <w:p w14:paraId="6A4A55FB" w14:textId="516E6A1E" w:rsidR="003013C2" w:rsidRDefault="003013C2" w:rsidP="00E216F8">
      <w:pPr>
        <w:spacing w:after="0" w:line="276" w:lineRule="auto"/>
        <w:jc w:val="left"/>
        <w:rPr>
          <w:szCs w:val="24"/>
        </w:rPr>
      </w:pPr>
      <w:r w:rsidRPr="005E210A">
        <w:rPr>
          <w:szCs w:val="24"/>
        </w:rPr>
        <w:t>The size of shocks</w:t>
      </w:r>
      <w:r w:rsidR="00C947B5">
        <w:rPr>
          <w:szCs w:val="24"/>
        </w:rPr>
        <w:t xml:space="preserve">, </w:t>
      </w:r>
      <w:r w:rsidR="00A42735">
        <w:rPr>
          <w:szCs w:val="24"/>
        </w:rPr>
        <w:t>i.e.,</w:t>
      </w:r>
      <w:r w:rsidR="00C947B5">
        <w:rPr>
          <w:szCs w:val="24"/>
        </w:rPr>
        <w:t xml:space="preserve"> the changes in value of scheme assets or liabilities,</w:t>
      </w:r>
      <w:r w:rsidRPr="005E210A">
        <w:rPr>
          <w:szCs w:val="24"/>
        </w:rPr>
        <w:t xml:space="preserve"> for each risk module</w:t>
      </w:r>
      <w:r w:rsidR="00C947B5">
        <w:rPr>
          <w:szCs w:val="24"/>
        </w:rPr>
        <w:t>,</w:t>
      </w:r>
      <w:r w:rsidRPr="005E210A">
        <w:rPr>
          <w:szCs w:val="24"/>
        </w:rPr>
        <w:t xml:space="preserve"> is available </w:t>
      </w:r>
      <w:r w:rsidR="00666160" w:rsidRPr="005E210A">
        <w:rPr>
          <w:szCs w:val="24"/>
        </w:rPr>
        <w:t>i</w:t>
      </w:r>
      <w:r w:rsidRPr="005E210A">
        <w:rPr>
          <w:szCs w:val="24"/>
        </w:rPr>
        <w:t xml:space="preserve">n the risk measure spreadsheet available on the Authority’s website. Some examples </w:t>
      </w:r>
      <w:r w:rsidR="00C947B5">
        <w:rPr>
          <w:szCs w:val="24"/>
        </w:rPr>
        <w:t xml:space="preserve">of percentage change in asset values and interest rate movements </w:t>
      </w:r>
      <w:r w:rsidRPr="005E210A">
        <w:rPr>
          <w:szCs w:val="24"/>
        </w:rPr>
        <w:t xml:space="preserve">are </w:t>
      </w:r>
      <w:r w:rsidR="00C947B5">
        <w:rPr>
          <w:szCs w:val="24"/>
        </w:rPr>
        <w:t xml:space="preserve">shown </w:t>
      </w:r>
      <w:r w:rsidRPr="005E210A">
        <w:rPr>
          <w:szCs w:val="24"/>
        </w:rPr>
        <w:t>in the table below.</w:t>
      </w:r>
    </w:p>
    <w:p w14:paraId="3E471FBE" w14:textId="77777777" w:rsidR="00A46DA4" w:rsidRPr="005E210A" w:rsidRDefault="00A46DA4" w:rsidP="00E216F8">
      <w:pPr>
        <w:spacing w:after="0" w:line="276" w:lineRule="auto"/>
        <w:jc w:val="left"/>
        <w:rPr>
          <w:szCs w:val="24"/>
        </w:rPr>
      </w:pPr>
    </w:p>
    <w:p w14:paraId="57879226" w14:textId="0571EEFD" w:rsidR="003013C2" w:rsidRPr="00A46DA4" w:rsidRDefault="00287B81" w:rsidP="00E216F8">
      <w:pPr>
        <w:spacing w:after="0" w:line="276" w:lineRule="auto"/>
        <w:jc w:val="left"/>
        <w:rPr>
          <w:b/>
          <w:bCs/>
          <w:szCs w:val="24"/>
        </w:rPr>
      </w:pPr>
      <w:r w:rsidRPr="00A46DA4">
        <w:rPr>
          <w:b/>
          <w:bCs/>
          <w:szCs w:val="24"/>
        </w:rPr>
        <w:t xml:space="preserve">Table </w:t>
      </w:r>
      <w:r w:rsidR="00DD2B9D">
        <w:rPr>
          <w:b/>
          <w:bCs/>
          <w:szCs w:val="24"/>
        </w:rPr>
        <w:t>2</w:t>
      </w:r>
      <w:r w:rsidR="00137B50" w:rsidRPr="00A46DA4">
        <w:rPr>
          <w:b/>
          <w:bCs/>
          <w:szCs w:val="24"/>
        </w:rPr>
        <w:t xml:space="preserve"> Sample shocks</w:t>
      </w:r>
    </w:p>
    <w:tbl>
      <w:tblPr>
        <w:tblStyle w:val="ListTable4-Accent1"/>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1"/>
        <w:gridCol w:w="2115"/>
        <w:gridCol w:w="793"/>
        <w:gridCol w:w="794"/>
        <w:gridCol w:w="794"/>
        <w:gridCol w:w="794"/>
        <w:gridCol w:w="794"/>
        <w:gridCol w:w="895"/>
        <w:gridCol w:w="896"/>
      </w:tblGrid>
      <w:tr w:rsidR="00A42735" w:rsidRPr="00A42735" w14:paraId="3E2C2FAC" w14:textId="77777777" w:rsidTr="00A46DA4">
        <w:trPr>
          <w:cnfStyle w:val="100000000000" w:firstRow="1" w:lastRow="0" w:firstColumn="0" w:lastColumn="0" w:oddVBand="0" w:evenVBand="0" w:oddHBand="0"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3256" w:type="dxa"/>
            <w:gridSpan w:val="2"/>
            <w:vMerge w:val="restart"/>
            <w:shd w:val="clear" w:color="auto" w:fill="002060"/>
            <w:vAlign w:val="center"/>
          </w:tcPr>
          <w:p w14:paraId="1BC578A9" w14:textId="7A9E5858" w:rsidR="00A42735" w:rsidRPr="00A46DA4" w:rsidRDefault="00A42735" w:rsidP="00E216F8">
            <w:pPr>
              <w:spacing w:after="0" w:line="276" w:lineRule="auto"/>
              <w:jc w:val="left"/>
              <w:rPr>
                <w:rFonts w:eastAsia="Times New Roman" w:cs="Arial"/>
                <w:sz w:val="22"/>
                <w:lang w:val="en-IE" w:eastAsia="en-IE"/>
              </w:rPr>
            </w:pPr>
            <w:r w:rsidRPr="00A46DA4">
              <w:rPr>
                <w:rFonts w:eastAsia="Times New Roman" w:cs="Arial"/>
                <w:sz w:val="22"/>
                <w:lang w:val="en-IE" w:eastAsia="en-IE"/>
              </w:rPr>
              <w:t>Shock sizes  </w:t>
            </w:r>
          </w:p>
        </w:tc>
        <w:tc>
          <w:tcPr>
            <w:tcW w:w="5760" w:type="dxa"/>
            <w:gridSpan w:val="7"/>
            <w:shd w:val="clear" w:color="auto" w:fill="002060"/>
            <w:vAlign w:val="center"/>
            <w:hideMark/>
          </w:tcPr>
          <w:p w14:paraId="01B2A9E4" w14:textId="65893E7B" w:rsidR="00A42735" w:rsidRPr="00325D11" w:rsidRDefault="00A42735" w:rsidP="00E216F8">
            <w:pPr>
              <w:spacing w:after="0" w:line="276" w:lineRule="auto"/>
              <w:jc w:val="left"/>
              <w:cnfStyle w:val="100000000000" w:firstRow="1" w:lastRow="0" w:firstColumn="0" w:lastColumn="0" w:oddVBand="0" w:evenVBand="0" w:oddHBand="0" w:evenHBand="0" w:firstRowFirstColumn="0" w:firstRowLastColumn="0" w:lastRowFirstColumn="0" w:lastRowLastColumn="0"/>
              <w:rPr>
                <w:rFonts w:eastAsia="Times New Roman" w:cs="Arial"/>
                <w:color w:val="FFFFFF"/>
                <w:sz w:val="22"/>
                <w:lang w:val="en-IE" w:eastAsia="en-IE"/>
              </w:rPr>
            </w:pPr>
            <w:r w:rsidRPr="00A46DA4">
              <w:rPr>
                <w:rFonts w:eastAsia="Times New Roman" w:cs="Arial"/>
                <w:sz w:val="22"/>
                <w:lang w:val="en-IE" w:eastAsia="en-IE"/>
              </w:rPr>
              <w:t>Risk measure percentage levels</w:t>
            </w:r>
          </w:p>
        </w:tc>
      </w:tr>
      <w:tr w:rsidR="00A46DA4" w:rsidRPr="00A42735" w14:paraId="5F649C98" w14:textId="77777777" w:rsidTr="00217AE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256" w:type="dxa"/>
            <w:gridSpan w:val="2"/>
            <w:vMerge/>
            <w:shd w:val="clear" w:color="auto" w:fill="002060"/>
          </w:tcPr>
          <w:p w14:paraId="402DBAE5" w14:textId="09DDC2AA" w:rsidR="00A42735" w:rsidRPr="008271DA" w:rsidRDefault="00A42735" w:rsidP="00E216F8">
            <w:pPr>
              <w:spacing w:after="0" w:line="276" w:lineRule="auto"/>
              <w:jc w:val="left"/>
              <w:rPr>
                <w:rFonts w:eastAsia="Times New Roman" w:cs="Arial"/>
                <w:color w:val="000000"/>
                <w:sz w:val="22"/>
                <w:lang w:val="en-IE" w:eastAsia="en-IE"/>
              </w:rPr>
            </w:pPr>
          </w:p>
        </w:tc>
        <w:tc>
          <w:tcPr>
            <w:tcW w:w="793" w:type="dxa"/>
            <w:noWrap/>
            <w:vAlign w:val="center"/>
            <w:hideMark/>
          </w:tcPr>
          <w:p w14:paraId="3567B2C4" w14:textId="77777777" w:rsidR="00A42735" w:rsidRPr="008271DA" w:rsidRDefault="00A42735"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2"/>
                <w:lang w:val="en-IE" w:eastAsia="en-IE"/>
              </w:rPr>
            </w:pPr>
            <w:r w:rsidRPr="008271DA">
              <w:rPr>
                <w:rFonts w:eastAsia="Times New Roman" w:cs="Arial"/>
                <w:b/>
                <w:bCs/>
                <w:color w:val="000000"/>
                <w:sz w:val="22"/>
                <w:lang w:val="en-IE" w:eastAsia="en-IE"/>
              </w:rPr>
              <w:t>50%</w:t>
            </w:r>
          </w:p>
        </w:tc>
        <w:tc>
          <w:tcPr>
            <w:tcW w:w="794" w:type="dxa"/>
            <w:noWrap/>
            <w:vAlign w:val="center"/>
            <w:hideMark/>
          </w:tcPr>
          <w:p w14:paraId="6641DF4B" w14:textId="77777777" w:rsidR="00A42735" w:rsidRPr="008271DA" w:rsidRDefault="00A42735"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2"/>
                <w:lang w:val="en-IE" w:eastAsia="en-IE"/>
              </w:rPr>
            </w:pPr>
            <w:r w:rsidRPr="008271DA">
              <w:rPr>
                <w:rFonts w:eastAsia="Times New Roman" w:cs="Arial"/>
                <w:b/>
                <w:bCs/>
                <w:color w:val="000000"/>
                <w:sz w:val="22"/>
                <w:lang w:val="en-IE" w:eastAsia="en-IE"/>
              </w:rPr>
              <w:t>60%</w:t>
            </w:r>
          </w:p>
        </w:tc>
        <w:tc>
          <w:tcPr>
            <w:tcW w:w="794" w:type="dxa"/>
            <w:noWrap/>
            <w:vAlign w:val="center"/>
            <w:hideMark/>
          </w:tcPr>
          <w:p w14:paraId="08203523" w14:textId="77777777" w:rsidR="00A42735" w:rsidRPr="008271DA" w:rsidRDefault="00A42735"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2"/>
                <w:lang w:val="en-IE" w:eastAsia="en-IE"/>
              </w:rPr>
            </w:pPr>
            <w:r w:rsidRPr="008271DA">
              <w:rPr>
                <w:rFonts w:eastAsia="Times New Roman" w:cs="Arial"/>
                <w:b/>
                <w:bCs/>
                <w:color w:val="000000"/>
                <w:sz w:val="22"/>
                <w:lang w:val="en-IE" w:eastAsia="en-IE"/>
              </w:rPr>
              <w:t>75%</w:t>
            </w:r>
          </w:p>
        </w:tc>
        <w:tc>
          <w:tcPr>
            <w:tcW w:w="794" w:type="dxa"/>
            <w:noWrap/>
            <w:vAlign w:val="center"/>
            <w:hideMark/>
          </w:tcPr>
          <w:p w14:paraId="56A340FA" w14:textId="77777777" w:rsidR="00A42735" w:rsidRPr="008271DA" w:rsidRDefault="00A42735"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2"/>
                <w:lang w:val="en-IE" w:eastAsia="en-IE"/>
              </w:rPr>
            </w:pPr>
            <w:r w:rsidRPr="008271DA">
              <w:rPr>
                <w:rFonts w:eastAsia="Times New Roman" w:cs="Arial"/>
                <w:b/>
                <w:bCs/>
                <w:color w:val="000000"/>
                <w:sz w:val="22"/>
                <w:lang w:val="en-IE" w:eastAsia="en-IE"/>
              </w:rPr>
              <w:t>85%</w:t>
            </w:r>
          </w:p>
        </w:tc>
        <w:tc>
          <w:tcPr>
            <w:tcW w:w="794" w:type="dxa"/>
            <w:noWrap/>
            <w:vAlign w:val="center"/>
            <w:hideMark/>
          </w:tcPr>
          <w:p w14:paraId="500098AD" w14:textId="77777777" w:rsidR="00A42735" w:rsidRPr="008271DA" w:rsidRDefault="00A42735"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2"/>
                <w:lang w:val="en-IE" w:eastAsia="en-IE"/>
              </w:rPr>
            </w:pPr>
            <w:r w:rsidRPr="008271DA">
              <w:rPr>
                <w:rFonts w:eastAsia="Times New Roman" w:cs="Arial"/>
                <w:b/>
                <w:bCs/>
                <w:color w:val="000000"/>
                <w:sz w:val="22"/>
                <w:lang w:val="en-IE" w:eastAsia="en-IE"/>
              </w:rPr>
              <w:t>90%</w:t>
            </w:r>
          </w:p>
        </w:tc>
        <w:tc>
          <w:tcPr>
            <w:tcW w:w="895" w:type="dxa"/>
            <w:noWrap/>
            <w:vAlign w:val="center"/>
            <w:hideMark/>
          </w:tcPr>
          <w:p w14:paraId="41EE073B" w14:textId="77777777" w:rsidR="00A42735" w:rsidRPr="008271DA" w:rsidRDefault="00A42735"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2"/>
                <w:lang w:val="en-IE" w:eastAsia="en-IE"/>
              </w:rPr>
            </w:pPr>
            <w:r w:rsidRPr="008271DA">
              <w:rPr>
                <w:rFonts w:eastAsia="Times New Roman" w:cs="Arial"/>
                <w:b/>
                <w:bCs/>
                <w:color w:val="000000"/>
                <w:sz w:val="22"/>
                <w:lang w:val="en-IE" w:eastAsia="en-IE"/>
              </w:rPr>
              <w:t>97.5%</w:t>
            </w:r>
          </w:p>
        </w:tc>
        <w:tc>
          <w:tcPr>
            <w:tcW w:w="896" w:type="dxa"/>
            <w:noWrap/>
            <w:vAlign w:val="center"/>
            <w:hideMark/>
          </w:tcPr>
          <w:p w14:paraId="639828DD" w14:textId="77777777" w:rsidR="00A42735" w:rsidRPr="008271DA" w:rsidRDefault="00A42735"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2"/>
                <w:lang w:val="en-IE" w:eastAsia="en-IE"/>
              </w:rPr>
            </w:pPr>
            <w:r w:rsidRPr="008271DA">
              <w:rPr>
                <w:rFonts w:eastAsia="Times New Roman" w:cs="Arial"/>
                <w:b/>
                <w:bCs/>
                <w:color w:val="000000"/>
                <w:sz w:val="22"/>
                <w:lang w:val="en-IE" w:eastAsia="en-IE"/>
              </w:rPr>
              <w:t>99.5%</w:t>
            </w:r>
          </w:p>
        </w:tc>
      </w:tr>
      <w:tr w:rsidR="00DD2B9D" w:rsidRPr="00A42735" w14:paraId="61E768F4" w14:textId="77777777" w:rsidTr="00217AEF">
        <w:trPr>
          <w:trHeight w:val="510"/>
        </w:trPr>
        <w:tc>
          <w:tcPr>
            <w:cnfStyle w:val="001000000000" w:firstRow="0" w:lastRow="0" w:firstColumn="1" w:lastColumn="0" w:oddVBand="0" w:evenVBand="0" w:oddHBand="0" w:evenHBand="0" w:firstRowFirstColumn="0" w:firstRowLastColumn="0" w:lastRowFirstColumn="0" w:lastRowLastColumn="0"/>
            <w:tcW w:w="1141" w:type="dxa"/>
            <w:vMerge w:val="restart"/>
            <w:vAlign w:val="center"/>
          </w:tcPr>
          <w:p w14:paraId="4E761D63" w14:textId="755B5EEE" w:rsidR="00DD2B9D" w:rsidRPr="00325D11" w:rsidRDefault="00DD2B9D" w:rsidP="00E216F8">
            <w:pPr>
              <w:spacing w:after="0" w:line="276" w:lineRule="auto"/>
              <w:jc w:val="left"/>
              <w:rPr>
                <w:rFonts w:eastAsia="Times New Roman" w:cs="Arial"/>
                <w:color w:val="000000"/>
                <w:sz w:val="22"/>
                <w:lang w:val="en-IE" w:eastAsia="en-IE"/>
              </w:rPr>
            </w:pPr>
            <w:r w:rsidRPr="00325D11">
              <w:rPr>
                <w:rFonts w:eastAsia="Times New Roman" w:cs="Arial"/>
                <w:color w:val="000000"/>
                <w:sz w:val="22"/>
                <w:lang w:val="en-IE" w:eastAsia="en-IE"/>
              </w:rPr>
              <w:t>Risk modules</w:t>
            </w:r>
          </w:p>
        </w:tc>
        <w:tc>
          <w:tcPr>
            <w:tcW w:w="2115" w:type="dxa"/>
            <w:noWrap/>
            <w:vAlign w:val="center"/>
            <w:hideMark/>
          </w:tcPr>
          <w:p w14:paraId="31D86C27" w14:textId="55483716" w:rsidR="00DD2B9D" w:rsidRPr="00325D11" w:rsidRDefault="00DD2B9D" w:rsidP="00E216F8">
            <w:pPr>
              <w:spacing w:after="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lang w:val="en-IE" w:eastAsia="en-IE"/>
              </w:rPr>
            </w:pPr>
            <w:r w:rsidRPr="00325D11">
              <w:rPr>
                <w:rFonts w:eastAsia="Times New Roman" w:cs="Arial"/>
                <w:color w:val="000000"/>
                <w:sz w:val="22"/>
                <w:lang w:val="en-IE" w:eastAsia="en-IE"/>
              </w:rPr>
              <w:t>Equity</w:t>
            </w:r>
          </w:p>
        </w:tc>
        <w:tc>
          <w:tcPr>
            <w:tcW w:w="793" w:type="dxa"/>
            <w:noWrap/>
            <w:vAlign w:val="center"/>
            <w:hideMark/>
          </w:tcPr>
          <w:p w14:paraId="56B9F473" w14:textId="77777777" w:rsidR="00DD2B9D" w:rsidRPr="00325D11" w:rsidRDefault="00DD2B9D" w:rsidP="00E216F8">
            <w:pPr>
              <w:spacing w:after="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lang w:val="en-IE" w:eastAsia="en-IE"/>
              </w:rPr>
            </w:pPr>
            <w:r w:rsidRPr="00325D11">
              <w:rPr>
                <w:rFonts w:eastAsia="Times New Roman" w:cs="Arial"/>
                <w:color w:val="000000"/>
                <w:sz w:val="22"/>
                <w:lang w:val="en-IE" w:eastAsia="en-IE"/>
              </w:rPr>
              <w:t>0%</w:t>
            </w:r>
          </w:p>
        </w:tc>
        <w:tc>
          <w:tcPr>
            <w:tcW w:w="794" w:type="dxa"/>
            <w:noWrap/>
            <w:vAlign w:val="center"/>
            <w:hideMark/>
          </w:tcPr>
          <w:p w14:paraId="36E3C947" w14:textId="77777777" w:rsidR="00DD2B9D" w:rsidRPr="00325D11" w:rsidRDefault="00DD2B9D" w:rsidP="00E216F8">
            <w:pPr>
              <w:spacing w:after="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lang w:val="en-IE" w:eastAsia="en-IE"/>
              </w:rPr>
            </w:pPr>
            <w:r w:rsidRPr="00325D11">
              <w:rPr>
                <w:rFonts w:eastAsia="Times New Roman" w:cs="Arial"/>
                <w:color w:val="000000"/>
                <w:sz w:val="22"/>
                <w:lang w:val="en-IE" w:eastAsia="en-IE"/>
              </w:rPr>
              <w:t>0%</w:t>
            </w:r>
          </w:p>
        </w:tc>
        <w:tc>
          <w:tcPr>
            <w:tcW w:w="794" w:type="dxa"/>
            <w:noWrap/>
            <w:vAlign w:val="center"/>
            <w:hideMark/>
          </w:tcPr>
          <w:p w14:paraId="5BAD790A" w14:textId="77777777" w:rsidR="00DD2B9D" w:rsidRPr="00325D11" w:rsidRDefault="00DD2B9D" w:rsidP="00E216F8">
            <w:pPr>
              <w:spacing w:after="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lang w:val="en-IE" w:eastAsia="en-IE"/>
              </w:rPr>
            </w:pPr>
            <w:r w:rsidRPr="00325D11">
              <w:rPr>
                <w:rFonts w:eastAsia="Times New Roman" w:cs="Arial"/>
                <w:color w:val="000000"/>
                <w:sz w:val="22"/>
                <w:lang w:val="en-IE" w:eastAsia="en-IE"/>
              </w:rPr>
              <w:t>-5%</w:t>
            </w:r>
          </w:p>
        </w:tc>
        <w:tc>
          <w:tcPr>
            <w:tcW w:w="794" w:type="dxa"/>
            <w:noWrap/>
            <w:vAlign w:val="center"/>
            <w:hideMark/>
          </w:tcPr>
          <w:p w14:paraId="29096314" w14:textId="77777777" w:rsidR="00DD2B9D" w:rsidRPr="00325D11" w:rsidRDefault="00DD2B9D" w:rsidP="00E216F8">
            <w:pPr>
              <w:spacing w:after="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lang w:val="en-IE" w:eastAsia="en-IE"/>
              </w:rPr>
            </w:pPr>
            <w:r w:rsidRPr="00325D11">
              <w:rPr>
                <w:rFonts w:eastAsia="Times New Roman" w:cs="Arial"/>
                <w:color w:val="000000"/>
                <w:sz w:val="22"/>
                <w:lang w:val="en-IE" w:eastAsia="en-IE"/>
              </w:rPr>
              <w:t>-10%</w:t>
            </w:r>
          </w:p>
        </w:tc>
        <w:tc>
          <w:tcPr>
            <w:tcW w:w="794" w:type="dxa"/>
            <w:noWrap/>
            <w:vAlign w:val="center"/>
            <w:hideMark/>
          </w:tcPr>
          <w:p w14:paraId="682AC610" w14:textId="77777777" w:rsidR="00DD2B9D" w:rsidRPr="00325D11" w:rsidRDefault="00DD2B9D" w:rsidP="00E216F8">
            <w:pPr>
              <w:spacing w:after="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lang w:val="en-IE" w:eastAsia="en-IE"/>
              </w:rPr>
            </w:pPr>
            <w:r w:rsidRPr="00325D11">
              <w:rPr>
                <w:rFonts w:eastAsia="Times New Roman" w:cs="Arial"/>
                <w:color w:val="000000"/>
                <w:sz w:val="22"/>
                <w:lang w:val="en-IE" w:eastAsia="en-IE"/>
              </w:rPr>
              <w:t>-15%</w:t>
            </w:r>
          </w:p>
        </w:tc>
        <w:tc>
          <w:tcPr>
            <w:tcW w:w="895" w:type="dxa"/>
            <w:noWrap/>
            <w:vAlign w:val="center"/>
            <w:hideMark/>
          </w:tcPr>
          <w:p w14:paraId="4BFD3ECF" w14:textId="77777777" w:rsidR="00DD2B9D" w:rsidRPr="00325D11" w:rsidRDefault="00DD2B9D" w:rsidP="00E216F8">
            <w:pPr>
              <w:spacing w:after="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lang w:val="en-IE" w:eastAsia="en-IE"/>
              </w:rPr>
            </w:pPr>
            <w:r w:rsidRPr="00325D11">
              <w:rPr>
                <w:rFonts w:eastAsia="Times New Roman" w:cs="Arial"/>
                <w:color w:val="000000"/>
                <w:sz w:val="22"/>
                <w:lang w:val="en-IE" w:eastAsia="en-IE"/>
              </w:rPr>
              <w:t>-30%</w:t>
            </w:r>
          </w:p>
        </w:tc>
        <w:tc>
          <w:tcPr>
            <w:tcW w:w="896" w:type="dxa"/>
            <w:noWrap/>
            <w:vAlign w:val="center"/>
            <w:hideMark/>
          </w:tcPr>
          <w:p w14:paraId="4D5F73B9" w14:textId="77777777" w:rsidR="00DD2B9D" w:rsidRPr="00325D11" w:rsidRDefault="00DD2B9D" w:rsidP="00E216F8">
            <w:pPr>
              <w:spacing w:after="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lang w:val="en-IE" w:eastAsia="en-IE"/>
              </w:rPr>
            </w:pPr>
            <w:r w:rsidRPr="00325D11">
              <w:rPr>
                <w:rFonts w:eastAsia="Times New Roman" w:cs="Arial"/>
                <w:color w:val="000000"/>
                <w:sz w:val="22"/>
                <w:lang w:val="en-IE" w:eastAsia="en-IE"/>
              </w:rPr>
              <w:t>-40%</w:t>
            </w:r>
          </w:p>
        </w:tc>
      </w:tr>
      <w:tr w:rsidR="00DD2B9D" w:rsidRPr="00A42735" w14:paraId="4CEC5F24" w14:textId="77777777" w:rsidTr="00217AE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141" w:type="dxa"/>
            <w:vMerge/>
          </w:tcPr>
          <w:p w14:paraId="01880671" w14:textId="77777777" w:rsidR="00DD2B9D" w:rsidRPr="008271DA" w:rsidRDefault="00DD2B9D" w:rsidP="00E216F8">
            <w:pPr>
              <w:spacing w:after="0" w:line="276" w:lineRule="auto"/>
              <w:jc w:val="left"/>
              <w:rPr>
                <w:rFonts w:eastAsia="Times New Roman" w:cs="Arial"/>
                <w:color w:val="000000"/>
                <w:sz w:val="22"/>
                <w:lang w:val="en-IE" w:eastAsia="en-IE"/>
              </w:rPr>
            </w:pPr>
          </w:p>
        </w:tc>
        <w:tc>
          <w:tcPr>
            <w:tcW w:w="2115" w:type="dxa"/>
            <w:noWrap/>
            <w:vAlign w:val="center"/>
            <w:hideMark/>
          </w:tcPr>
          <w:p w14:paraId="05B2564D" w14:textId="24523A01" w:rsidR="00DD2B9D" w:rsidRPr="008271DA" w:rsidRDefault="00DD2B9D"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lang w:val="en-IE" w:eastAsia="en-IE"/>
              </w:rPr>
            </w:pPr>
            <w:r w:rsidRPr="008271DA">
              <w:rPr>
                <w:rFonts w:eastAsia="Times New Roman" w:cs="Arial"/>
                <w:color w:val="000000"/>
                <w:sz w:val="22"/>
                <w:lang w:val="en-IE" w:eastAsia="en-IE"/>
              </w:rPr>
              <w:t>Interest rate (basis points)</w:t>
            </w:r>
          </w:p>
        </w:tc>
        <w:tc>
          <w:tcPr>
            <w:tcW w:w="793" w:type="dxa"/>
            <w:noWrap/>
            <w:vAlign w:val="center"/>
            <w:hideMark/>
          </w:tcPr>
          <w:p w14:paraId="25A56C8A" w14:textId="77777777" w:rsidR="00DD2B9D" w:rsidRPr="008271DA" w:rsidRDefault="00DD2B9D"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lang w:val="en-IE" w:eastAsia="en-IE"/>
              </w:rPr>
            </w:pPr>
            <w:r w:rsidRPr="008271DA">
              <w:rPr>
                <w:rFonts w:eastAsia="Times New Roman" w:cs="Arial"/>
                <w:color w:val="000000"/>
                <w:sz w:val="22"/>
                <w:lang w:val="en-IE" w:eastAsia="en-IE"/>
              </w:rPr>
              <w:t>0</w:t>
            </w:r>
          </w:p>
        </w:tc>
        <w:tc>
          <w:tcPr>
            <w:tcW w:w="794" w:type="dxa"/>
            <w:noWrap/>
            <w:vAlign w:val="center"/>
            <w:hideMark/>
          </w:tcPr>
          <w:p w14:paraId="5641B62F" w14:textId="77777777" w:rsidR="00DD2B9D" w:rsidRPr="008271DA" w:rsidRDefault="00DD2B9D"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lang w:val="en-IE" w:eastAsia="en-IE"/>
              </w:rPr>
            </w:pPr>
            <w:r w:rsidRPr="008271DA">
              <w:rPr>
                <w:rFonts w:eastAsia="Times New Roman" w:cs="Arial"/>
                <w:color w:val="000000"/>
                <w:sz w:val="22"/>
                <w:lang w:val="en-IE" w:eastAsia="en-IE"/>
              </w:rPr>
              <w:t>-10</w:t>
            </w:r>
          </w:p>
        </w:tc>
        <w:tc>
          <w:tcPr>
            <w:tcW w:w="794" w:type="dxa"/>
            <w:noWrap/>
            <w:vAlign w:val="center"/>
            <w:hideMark/>
          </w:tcPr>
          <w:p w14:paraId="31F710ED" w14:textId="77777777" w:rsidR="00DD2B9D" w:rsidRPr="008271DA" w:rsidRDefault="00DD2B9D"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lang w:val="en-IE" w:eastAsia="en-IE"/>
              </w:rPr>
            </w:pPr>
            <w:r w:rsidRPr="008271DA">
              <w:rPr>
                <w:rFonts w:eastAsia="Times New Roman" w:cs="Arial"/>
                <w:color w:val="000000"/>
                <w:sz w:val="22"/>
                <w:lang w:val="en-IE" w:eastAsia="en-IE"/>
              </w:rPr>
              <w:t>-20</w:t>
            </w:r>
          </w:p>
        </w:tc>
        <w:tc>
          <w:tcPr>
            <w:tcW w:w="794" w:type="dxa"/>
            <w:noWrap/>
            <w:vAlign w:val="center"/>
            <w:hideMark/>
          </w:tcPr>
          <w:p w14:paraId="6E51247E" w14:textId="77777777" w:rsidR="00DD2B9D" w:rsidRPr="008271DA" w:rsidRDefault="00DD2B9D"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lang w:val="en-IE" w:eastAsia="en-IE"/>
              </w:rPr>
            </w:pPr>
            <w:r w:rsidRPr="008271DA">
              <w:rPr>
                <w:rFonts w:eastAsia="Times New Roman" w:cs="Arial"/>
                <w:color w:val="000000"/>
                <w:sz w:val="22"/>
                <w:lang w:val="en-IE" w:eastAsia="en-IE"/>
              </w:rPr>
              <w:t>-30</w:t>
            </w:r>
          </w:p>
        </w:tc>
        <w:tc>
          <w:tcPr>
            <w:tcW w:w="794" w:type="dxa"/>
            <w:noWrap/>
            <w:vAlign w:val="center"/>
            <w:hideMark/>
          </w:tcPr>
          <w:p w14:paraId="39F1F228" w14:textId="77777777" w:rsidR="00DD2B9D" w:rsidRPr="008271DA" w:rsidRDefault="00DD2B9D"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lang w:val="en-IE" w:eastAsia="en-IE"/>
              </w:rPr>
            </w:pPr>
            <w:r w:rsidRPr="008271DA">
              <w:rPr>
                <w:rFonts w:eastAsia="Times New Roman" w:cs="Arial"/>
                <w:color w:val="000000"/>
                <w:sz w:val="22"/>
                <w:lang w:val="en-IE" w:eastAsia="en-IE"/>
              </w:rPr>
              <w:t>-40</w:t>
            </w:r>
          </w:p>
        </w:tc>
        <w:tc>
          <w:tcPr>
            <w:tcW w:w="895" w:type="dxa"/>
            <w:noWrap/>
            <w:vAlign w:val="center"/>
            <w:hideMark/>
          </w:tcPr>
          <w:p w14:paraId="11E3B017" w14:textId="77777777" w:rsidR="00DD2B9D" w:rsidRPr="008271DA" w:rsidRDefault="00DD2B9D"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lang w:val="en-IE" w:eastAsia="en-IE"/>
              </w:rPr>
            </w:pPr>
            <w:r w:rsidRPr="008271DA">
              <w:rPr>
                <w:rFonts w:eastAsia="Times New Roman" w:cs="Arial"/>
                <w:color w:val="000000"/>
                <w:sz w:val="22"/>
                <w:lang w:val="en-IE" w:eastAsia="en-IE"/>
              </w:rPr>
              <w:t>-60</w:t>
            </w:r>
          </w:p>
        </w:tc>
        <w:tc>
          <w:tcPr>
            <w:tcW w:w="896" w:type="dxa"/>
            <w:noWrap/>
            <w:vAlign w:val="center"/>
            <w:hideMark/>
          </w:tcPr>
          <w:p w14:paraId="66E727BD" w14:textId="77777777" w:rsidR="00DD2B9D" w:rsidRPr="008271DA" w:rsidRDefault="00DD2B9D"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lang w:val="en-IE" w:eastAsia="en-IE"/>
              </w:rPr>
            </w:pPr>
            <w:r w:rsidRPr="008271DA">
              <w:rPr>
                <w:rFonts w:eastAsia="Times New Roman" w:cs="Arial"/>
                <w:color w:val="000000"/>
                <w:sz w:val="22"/>
                <w:lang w:val="en-IE" w:eastAsia="en-IE"/>
              </w:rPr>
              <w:t>-75</w:t>
            </w:r>
          </w:p>
        </w:tc>
      </w:tr>
      <w:tr w:rsidR="00DD2B9D" w:rsidRPr="00A42735" w14:paraId="3C9F765F" w14:textId="77777777" w:rsidTr="00217AEF">
        <w:trPr>
          <w:trHeight w:val="510"/>
        </w:trPr>
        <w:tc>
          <w:tcPr>
            <w:cnfStyle w:val="001000000000" w:firstRow="0" w:lastRow="0" w:firstColumn="1" w:lastColumn="0" w:oddVBand="0" w:evenVBand="0" w:oddHBand="0" w:evenHBand="0" w:firstRowFirstColumn="0" w:firstRowLastColumn="0" w:lastRowFirstColumn="0" w:lastRowLastColumn="0"/>
            <w:tcW w:w="1141" w:type="dxa"/>
            <w:vMerge/>
          </w:tcPr>
          <w:p w14:paraId="76B84ADE" w14:textId="77777777" w:rsidR="00DD2B9D" w:rsidRPr="008271DA" w:rsidRDefault="00DD2B9D" w:rsidP="00E216F8">
            <w:pPr>
              <w:spacing w:after="0" w:line="276" w:lineRule="auto"/>
              <w:jc w:val="left"/>
              <w:rPr>
                <w:rFonts w:eastAsia="Times New Roman" w:cs="Arial"/>
                <w:color w:val="000000"/>
                <w:sz w:val="22"/>
                <w:lang w:val="en-IE" w:eastAsia="en-IE"/>
              </w:rPr>
            </w:pPr>
          </w:p>
        </w:tc>
        <w:tc>
          <w:tcPr>
            <w:tcW w:w="2115" w:type="dxa"/>
            <w:noWrap/>
            <w:vAlign w:val="center"/>
            <w:hideMark/>
          </w:tcPr>
          <w:p w14:paraId="230ACDFC" w14:textId="5A6BDADE" w:rsidR="00DD2B9D" w:rsidRPr="008271DA" w:rsidRDefault="00DD2B9D" w:rsidP="00E216F8">
            <w:pPr>
              <w:spacing w:after="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lang w:val="en-IE" w:eastAsia="en-IE"/>
              </w:rPr>
            </w:pPr>
            <w:r w:rsidRPr="008271DA">
              <w:rPr>
                <w:rFonts w:eastAsia="Times New Roman" w:cs="Arial"/>
                <w:color w:val="000000"/>
                <w:sz w:val="22"/>
                <w:lang w:val="en-IE" w:eastAsia="en-IE"/>
              </w:rPr>
              <w:t>Property</w:t>
            </w:r>
          </w:p>
        </w:tc>
        <w:tc>
          <w:tcPr>
            <w:tcW w:w="793" w:type="dxa"/>
            <w:noWrap/>
            <w:vAlign w:val="center"/>
            <w:hideMark/>
          </w:tcPr>
          <w:p w14:paraId="708CF138" w14:textId="77777777" w:rsidR="00DD2B9D" w:rsidRPr="008271DA" w:rsidRDefault="00DD2B9D" w:rsidP="00E216F8">
            <w:pPr>
              <w:spacing w:after="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lang w:val="en-IE" w:eastAsia="en-IE"/>
              </w:rPr>
            </w:pPr>
            <w:r w:rsidRPr="008271DA">
              <w:rPr>
                <w:rFonts w:eastAsia="Times New Roman" w:cs="Arial"/>
                <w:color w:val="000000"/>
                <w:sz w:val="22"/>
                <w:lang w:val="en-IE" w:eastAsia="en-IE"/>
              </w:rPr>
              <w:t>0%</w:t>
            </w:r>
          </w:p>
        </w:tc>
        <w:tc>
          <w:tcPr>
            <w:tcW w:w="794" w:type="dxa"/>
            <w:noWrap/>
            <w:vAlign w:val="center"/>
            <w:hideMark/>
          </w:tcPr>
          <w:p w14:paraId="6A0EE5C8" w14:textId="77777777" w:rsidR="00DD2B9D" w:rsidRPr="008271DA" w:rsidRDefault="00DD2B9D" w:rsidP="00E216F8">
            <w:pPr>
              <w:spacing w:after="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lang w:val="en-IE" w:eastAsia="en-IE"/>
              </w:rPr>
            </w:pPr>
            <w:r w:rsidRPr="008271DA">
              <w:rPr>
                <w:rFonts w:eastAsia="Times New Roman" w:cs="Arial"/>
                <w:color w:val="000000"/>
                <w:sz w:val="22"/>
                <w:lang w:val="en-IE" w:eastAsia="en-IE"/>
              </w:rPr>
              <w:t>0%</w:t>
            </w:r>
          </w:p>
        </w:tc>
        <w:tc>
          <w:tcPr>
            <w:tcW w:w="794" w:type="dxa"/>
            <w:noWrap/>
            <w:vAlign w:val="center"/>
            <w:hideMark/>
          </w:tcPr>
          <w:p w14:paraId="58920DFC" w14:textId="77777777" w:rsidR="00DD2B9D" w:rsidRPr="008271DA" w:rsidRDefault="00DD2B9D" w:rsidP="00E216F8">
            <w:pPr>
              <w:spacing w:after="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lang w:val="en-IE" w:eastAsia="en-IE"/>
              </w:rPr>
            </w:pPr>
            <w:r w:rsidRPr="008271DA">
              <w:rPr>
                <w:rFonts w:eastAsia="Times New Roman" w:cs="Arial"/>
                <w:color w:val="000000"/>
                <w:sz w:val="22"/>
                <w:lang w:val="en-IE" w:eastAsia="en-IE"/>
              </w:rPr>
              <w:t>0%</w:t>
            </w:r>
          </w:p>
        </w:tc>
        <w:tc>
          <w:tcPr>
            <w:tcW w:w="794" w:type="dxa"/>
            <w:noWrap/>
            <w:vAlign w:val="center"/>
            <w:hideMark/>
          </w:tcPr>
          <w:p w14:paraId="762F5EB3" w14:textId="77777777" w:rsidR="00DD2B9D" w:rsidRPr="008271DA" w:rsidRDefault="00DD2B9D" w:rsidP="00E216F8">
            <w:pPr>
              <w:spacing w:after="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lang w:val="en-IE" w:eastAsia="en-IE"/>
              </w:rPr>
            </w:pPr>
            <w:r w:rsidRPr="008271DA">
              <w:rPr>
                <w:rFonts w:eastAsia="Times New Roman" w:cs="Arial"/>
                <w:color w:val="000000"/>
                <w:sz w:val="22"/>
                <w:lang w:val="en-IE" w:eastAsia="en-IE"/>
              </w:rPr>
              <w:t>-4%</w:t>
            </w:r>
          </w:p>
        </w:tc>
        <w:tc>
          <w:tcPr>
            <w:tcW w:w="794" w:type="dxa"/>
            <w:noWrap/>
            <w:vAlign w:val="center"/>
            <w:hideMark/>
          </w:tcPr>
          <w:p w14:paraId="1250F749" w14:textId="77777777" w:rsidR="00DD2B9D" w:rsidRPr="008271DA" w:rsidRDefault="00DD2B9D" w:rsidP="00E216F8">
            <w:pPr>
              <w:spacing w:after="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lang w:val="en-IE" w:eastAsia="en-IE"/>
              </w:rPr>
            </w:pPr>
            <w:r w:rsidRPr="008271DA">
              <w:rPr>
                <w:rFonts w:eastAsia="Times New Roman" w:cs="Arial"/>
                <w:color w:val="000000"/>
                <w:sz w:val="22"/>
                <w:lang w:val="en-IE" w:eastAsia="en-IE"/>
              </w:rPr>
              <w:t>-7%</w:t>
            </w:r>
          </w:p>
        </w:tc>
        <w:tc>
          <w:tcPr>
            <w:tcW w:w="895" w:type="dxa"/>
            <w:noWrap/>
            <w:vAlign w:val="center"/>
            <w:hideMark/>
          </w:tcPr>
          <w:p w14:paraId="472B618B" w14:textId="77777777" w:rsidR="00DD2B9D" w:rsidRPr="008271DA" w:rsidRDefault="00DD2B9D" w:rsidP="00E216F8">
            <w:pPr>
              <w:spacing w:after="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lang w:val="en-IE" w:eastAsia="en-IE"/>
              </w:rPr>
            </w:pPr>
            <w:r w:rsidRPr="008271DA">
              <w:rPr>
                <w:rFonts w:eastAsia="Times New Roman" w:cs="Arial"/>
                <w:color w:val="000000"/>
                <w:sz w:val="22"/>
                <w:lang w:val="en-IE" w:eastAsia="en-IE"/>
              </w:rPr>
              <w:t>-15%</w:t>
            </w:r>
          </w:p>
        </w:tc>
        <w:tc>
          <w:tcPr>
            <w:tcW w:w="896" w:type="dxa"/>
            <w:noWrap/>
            <w:vAlign w:val="center"/>
            <w:hideMark/>
          </w:tcPr>
          <w:p w14:paraId="6649E9E9" w14:textId="77777777" w:rsidR="00DD2B9D" w:rsidRPr="00325D11" w:rsidRDefault="00DD2B9D" w:rsidP="00E216F8">
            <w:pPr>
              <w:spacing w:after="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lang w:val="en-IE" w:eastAsia="en-IE"/>
              </w:rPr>
            </w:pPr>
            <w:r w:rsidRPr="008271DA">
              <w:rPr>
                <w:rFonts w:eastAsia="Times New Roman" w:cs="Arial"/>
                <w:color w:val="000000"/>
                <w:sz w:val="22"/>
                <w:lang w:val="en-IE" w:eastAsia="en-IE"/>
              </w:rPr>
              <w:t>-25%</w:t>
            </w:r>
          </w:p>
        </w:tc>
      </w:tr>
      <w:tr w:rsidR="00DD2B9D" w:rsidRPr="00A42735" w14:paraId="4D3D4D07" w14:textId="77777777" w:rsidTr="00217AE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141" w:type="dxa"/>
            <w:vMerge/>
          </w:tcPr>
          <w:p w14:paraId="659F05D6" w14:textId="77777777" w:rsidR="00DD2B9D" w:rsidRPr="008271DA" w:rsidRDefault="00DD2B9D" w:rsidP="00E216F8">
            <w:pPr>
              <w:spacing w:after="0" w:line="276" w:lineRule="auto"/>
              <w:jc w:val="left"/>
              <w:rPr>
                <w:rFonts w:eastAsia="Times New Roman" w:cs="Arial"/>
                <w:color w:val="000000"/>
                <w:sz w:val="22"/>
                <w:lang w:val="en-IE" w:eastAsia="en-IE"/>
              </w:rPr>
            </w:pPr>
          </w:p>
        </w:tc>
        <w:tc>
          <w:tcPr>
            <w:tcW w:w="2115" w:type="dxa"/>
            <w:noWrap/>
            <w:vAlign w:val="center"/>
          </w:tcPr>
          <w:p w14:paraId="20AFD3BC" w14:textId="060DD17C" w:rsidR="00DD2B9D" w:rsidRPr="008271DA" w:rsidRDefault="00DD2B9D"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lang w:val="en-IE" w:eastAsia="en-IE"/>
              </w:rPr>
            </w:pPr>
            <w:r>
              <w:rPr>
                <w:rFonts w:eastAsia="Times New Roman" w:cs="Arial"/>
                <w:color w:val="000000"/>
                <w:sz w:val="22"/>
                <w:lang w:val="en-IE" w:eastAsia="en-IE"/>
              </w:rPr>
              <w:t>Longevity</w:t>
            </w:r>
          </w:p>
        </w:tc>
        <w:tc>
          <w:tcPr>
            <w:tcW w:w="793" w:type="dxa"/>
            <w:noWrap/>
            <w:vAlign w:val="center"/>
          </w:tcPr>
          <w:p w14:paraId="145AA9D8" w14:textId="4B237BE7" w:rsidR="00DD2B9D" w:rsidRPr="008271DA" w:rsidRDefault="00DD2B9D"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lang w:val="en-IE" w:eastAsia="en-IE"/>
              </w:rPr>
            </w:pPr>
            <w:r>
              <w:rPr>
                <w:rFonts w:eastAsia="Times New Roman" w:cs="Arial"/>
                <w:color w:val="000000"/>
                <w:sz w:val="22"/>
                <w:lang w:val="en-IE" w:eastAsia="en-IE"/>
              </w:rPr>
              <w:t>0%</w:t>
            </w:r>
          </w:p>
        </w:tc>
        <w:tc>
          <w:tcPr>
            <w:tcW w:w="794" w:type="dxa"/>
            <w:noWrap/>
            <w:vAlign w:val="center"/>
          </w:tcPr>
          <w:p w14:paraId="75326F13" w14:textId="48159360" w:rsidR="00DD2B9D" w:rsidRPr="008271DA" w:rsidRDefault="00DD2B9D"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lang w:val="en-IE" w:eastAsia="en-IE"/>
              </w:rPr>
            </w:pPr>
            <w:r>
              <w:rPr>
                <w:rFonts w:eastAsia="Times New Roman" w:cs="Arial"/>
                <w:color w:val="000000"/>
                <w:sz w:val="22"/>
                <w:lang w:val="en-IE" w:eastAsia="en-IE"/>
              </w:rPr>
              <w:t>-2%</w:t>
            </w:r>
          </w:p>
        </w:tc>
        <w:tc>
          <w:tcPr>
            <w:tcW w:w="794" w:type="dxa"/>
            <w:noWrap/>
            <w:vAlign w:val="center"/>
          </w:tcPr>
          <w:p w14:paraId="2ADC212B" w14:textId="6BD52487" w:rsidR="00DD2B9D" w:rsidRPr="008271DA" w:rsidRDefault="00DD2B9D"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lang w:val="en-IE" w:eastAsia="en-IE"/>
              </w:rPr>
            </w:pPr>
            <w:r>
              <w:rPr>
                <w:rFonts w:eastAsia="Times New Roman" w:cs="Arial"/>
                <w:color w:val="000000"/>
                <w:sz w:val="22"/>
                <w:lang w:val="en-IE" w:eastAsia="en-IE"/>
              </w:rPr>
              <w:t>-5%</w:t>
            </w:r>
          </w:p>
        </w:tc>
        <w:tc>
          <w:tcPr>
            <w:tcW w:w="794" w:type="dxa"/>
            <w:noWrap/>
            <w:vAlign w:val="center"/>
          </w:tcPr>
          <w:p w14:paraId="59F12C70" w14:textId="7DE4BEE1" w:rsidR="00DD2B9D" w:rsidRPr="008271DA" w:rsidRDefault="00DD2B9D"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lang w:val="en-IE" w:eastAsia="en-IE"/>
              </w:rPr>
            </w:pPr>
            <w:r>
              <w:rPr>
                <w:rFonts w:eastAsia="Times New Roman" w:cs="Arial"/>
                <w:color w:val="000000"/>
                <w:sz w:val="22"/>
                <w:lang w:val="en-IE" w:eastAsia="en-IE"/>
              </w:rPr>
              <w:t>-8%</w:t>
            </w:r>
          </w:p>
        </w:tc>
        <w:tc>
          <w:tcPr>
            <w:tcW w:w="794" w:type="dxa"/>
            <w:noWrap/>
            <w:vAlign w:val="center"/>
          </w:tcPr>
          <w:p w14:paraId="144298E9" w14:textId="511B4EBA" w:rsidR="00DD2B9D" w:rsidRPr="008271DA" w:rsidRDefault="00DD2B9D"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lang w:val="en-IE" w:eastAsia="en-IE"/>
              </w:rPr>
            </w:pPr>
            <w:r>
              <w:rPr>
                <w:rFonts w:eastAsia="Times New Roman" w:cs="Arial"/>
                <w:color w:val="000000"/>
                <w:sz w:val="22"/>
                <w:lang w:val="en-IE" w:eastAsia="en-IE"/>
              </w:rPr>
              <w:t>-10%</w:t>
            </w:r>
          </w:p>
        </w:tc>
        <w:tc>
          <w:tcPr>
            <w:tcW w:w="895" w:type="dxa"/>
            <w:noWrap/>
            <w:vAlign w:val="center"/>
          </w:tcPr>
          <w:p w14:paraId="59F0DC6A" w14:textId="44B165CB" w:rsidR="00DD2B9D" w:rsidRPr="008271DA" w:rsidRDefault="00DD2B9D"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lang w:val="en-IE" w:eastAsia="en-IE"/>
              </w:rPr>
            </w:pPr>
            <w:r>
              <w:rPr>
                <w:rFonts w:eastAsia="Times New Roman" w:cs="Arial"/>
                <w:color w:val="000000"/>
                <w:sz w:val="22"/>
                <w:lang w:val="en-IE" w:eastAsia="en-IE"/>
              </w:rPr>
              <w:t>-15%</w:t>
            </w:r>
          </w:p>
        </w:tc>
        <w:tc>
          <w:tcPr>
            <w:tcW w:w="896" w:type="dxa"/>
            <w:noWrap/>
            <w:vAlign w:val="center"/>
          </w:tcPr>
          <w:p w14:paraId="0844AA13" w14:textId="50DC2ECC" w:rsidR="00DD2B9D" w:rsidRPr="008271DA" w:rsidRDefault="00DD2B9D"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lang w:val="en-IE" w:eastAsia="en-IE"/>
              </w:rPr>
            </w:pPr>
            <w:r>
              <w:rPr>
                <w:rFonts w:eastAsia="Times New Roman" w:cs="Arial"/>
                <w:color w:val="000000"/>
                <w:sz w:val="22"/>
                <w:lang w:val="en-IE" w:eastAsia="en-IE"/>
              </w:rPr>
              <w:t>-20%</w:t>
            </w:r>
          </w:p>
        </w:tc>
      </w:tr>
    </w:tbl>
    <w:p w14:paraId="298719EA" w14:textId="77777777" w:rsidR="007C04DF" w:rsidRDefault="00D96352" w:rsidP="00E216F8">
      <w:pPr>
        <w:spacing w:after="0" w:line="276" w:lineRule="auto"/>
        <w:jc w:val="left"/>
        <w:rPr>
          <w:sz w:val="20"/>
          <w:szCs w:val="20"/>
        </w:rPr>
      </w:pPr>
      <w:r w:rsidRPr="00A46DA4">
        <w:rPr>
          <w:sz w:val="20"/>
          <w:szCs w:val="20"/>
        </w:rPr>
        <w:t xml:space="preserve"> </w:t>
      </w:r>
    </w:p>
    <w:p w14:paraId="71B2124B" w14:textId="77777777" w:rsidR="00F86A65" w:rsidRPr="00A46DA4" w:rsidRDefault="00F86A65" w:rsidP="00E216F8">
      <w:pPr>
        <w:spacing w:after="0" w:line="276" w:lineRule="auto"/>
        <w:jc w:val="left"/>
        <w:rPr>
          <w:sz w:val="20"/>
          <w:szCs w:val="20"/>
        </w:rPr>
      </w:pPr>
      <w:r w:rsidRPr="00A46DA4">
        <w:rPr>
          <w:sz w:val="20"/>
          <w:szCs w:val="20"/>
        </w:rPr>
        <w:t>(1) This table indicat</w:t>
      </w:r>
      <w:r>
        <w:rPr>
          <w:sz w:val="20"/>
          <w:szCs w:val="20"/>
        </w:rPr>
        <w:t>es, for example, that calculating the risk measure at the 90% level includes</w:t>
      </w:r>
      <w:r w:rsidRPr="00A46DA4">
        <w:rPr>
          <w:sz w:val="20"/>
          <w:szCs w:val="20"/>
        </w:rPr>
        <w:t xml:space="preserve"> shocks of a 15% decline in equity values, a decline in yield curves of 40 basis points, a decline in property values of 7% and a decline in mortality rate of 10%.</w:t>
      </w:r>
    </w:p>
    <w:p w14:paraId="7F818A7C" w14:textId="0774B449" w:rsidR="00D96352" w:rsidRPr="00A46DA4" w:rsidRDefault="00D96352" w:rsidP="00E216F8">
      <w:pPr>
        <w:spacing w:after="0" w:line="276" w:lineRule="auto"/>
        <w:jc w:val="left"/>
        <w:rPr>
          <w:sz w:val="20"/>
          <w:szCs w:val="20"/>
        </w:rPr>
      </w:pPr>
      <w:r w:rsidRPr="00A46DA4">
        <w:rPr>
          <w:sz w:val="20"/>
          <w:szCs w:val="20"/>
        </w:rPr>
        <w:t>(2) The longevity shock parameters represent the level of immediate once-off permanent reduction to assumed future mortality rates.</w:t>
      </w:r>
    </w:p>
    <w:p w14:paraId="300EA94B" w14:textId="115394A9" w:rsidR="00325D11" w:rsidRDefault="00325D11" w:rsidP="00E216F8">
      <w:pPr>
        <w:spacing w:after="0" w:line="276" w:lineRule="auto"/>
        <w:jc w:val="left"/>
        <w:rPr>
          <w:sz w:val="20"/>
          <w:szCs w:val="20"/>
        </w:rPr>
      </w:pPr>
      <w:r>
        <w:rPr>
          <w:sz w:val="20"/>
          <w:szCs w:val="20"/>
        </w:rPr>
        <w:br w:type="page"/>
      </w:r>
    </w:p>
    <w:p w14:paraId="2CC28D0E" w14:textId="38F0F1A2" w:rsidR="00325D11" w:rsidRDefault="00325D11" w:rsidP="0005330C">
      <w:pPr>
        <w:pStyle w:val="Heading3"/>
        <w:numPr>
          <w:ilvl w:val="2"/>
          <w:numId w:val="24"/>
        </w:numPr>
        <w:ind w:left="567" w:hanging="567"/>
      </w:pPr>
      <w:bookmarkStart w:id="5" w:name="_Toc87976280"/>
      <w:r>
        <w:lastRenderedPageBreak/>
        <w:t>Notes for practitioners on the use of the spreadsheet</w:t>
      </w:r>
      <w:bookmarkEnd w:id="5"/>
    </w:p>
    <w:p w14:paraId="6F69A5C3" w14:textId="6A6F950C" w:rsidR="00325D11" w:rsidRDefault="00325D11" w:rsidP="00E216F8">
      <w:pPr>
        <w:spacing w:after="0" w:line="276" w:lineRule="auto"/>
        <w:jc w:val="left"/>
        <w:rPr>
          <w:sz w:val="20"/>
          <w:szCs w:val="20"/>
        </w:rPr>
      </w:pPr>
      <w:r w:rsidRPr="00325D11">
        <w:rPr>
          <w:szCs w:val="24"/>
        </w:rPr>
        <w:t>The notes below</w:t>
      </w:r>
      <w:r>
        <w:rPr>
          <w:szCs w:val="24"/>
        </w:rPr>
        <w:t xml:space="preserve"> include a step-by-step guide on</w:t>
      </w:r>
      <w:r w:rsidR="008A40A0">
        <w:rPr>
          <w:szCs w:val="24"/>
        </w:rPr>
        <w:t xml:space="preserve"> the</w:t>
      </w:r>
      <w:r>
        <w:rPr>
          <w:szCs w:val="24"/>
        </w:rPr>
        <w:t xml:space="preserve"> results</w:t>
      </w:r>
      <w:r w:rsidR="008A40A0">
        <w:rPr>
          <w:szCs w:val="24"/>
        </w:rPr>
        <w:t xml:space="preserve"> that</w:t>
      </w:r>
      <w:r>
        <w:rPr>
          <w:szCs w:val="24"/>
        </w:rPr>
        <w:t xml:space="preserve"> can be derived from the spreadsheet.</w:t>
      </w:r>
      <w:r w:rsidR="00554A2A">
        <w:rPr>
          <w:szCs w:val="24"/>
        </w:rPr>
        <w:t xml:space="preserve"> </w:t>
      </w:r>
      <w:r>
        <w:rPr>
          <w:szCs w:val="24"/>
        </w:rPr>
        <w:t>There is also a simple worked example.</w:t>
      </w:r>
    </w:p>
    <w:p w14:paraId="4EE7190A" w14:textId="77777777" w:rsidR="00325D11" w:rsidRDefault="00325D11" w:rsidP="00E216F8">
      <w:pPr>
        <w:spacing w:after="0" w:line="276" w:lineRule="auto"/>
        <w:jc w:val="left"/>
        <w:rPr>
          <w:sz w:val="20"/>
          <w:szCs w:val="20"/>
        </w:rPr>
      </w:pPr>
    </w:p>
    <w:p w14:paraId="42D3C184" w14:textId="77777777" w:rsidR="0005330C" w:rsidRPr="0005330C" w:rsidRDefault="0005330C" w:rsidP="0005330C">
      <w:pPr>
        <w:pStyle w:val="ListParagraph"/>
        <w:keepNext/>
        <w:keepLines/>
        <w:numPr>
          <w:ilvl w:val="0"/>
          <w:numId w:val="23"/>
        </w:numPr>
        <w:tabs>
          <w:tab w:val="left" w:pos="567"/>
        </w:tabs>
        <w:spacing w:before="40" w:after="0"/>
        <w:contextualSpacing w:val="0"/>
        <w:jc w:val="left"/>
        <w:outlineLvl w:val="3"/>
        <w:rPr>
          <w:rFonts w:eastAsiaTheme="majorEastAsia" w:cstheme="majorBidi"/>
          <w:b/>
          <w:iCs/>
          <w:vanish/>
        </w:rPr>
      </w:pPr>
      <w:bookmarkStart w:id="6" w:name="_Toc87976281"/>
    </w:p>
    <w:p w14:paraId="1891BB9B" w14:textId="77777777" w:rsidR="0005330C" w:rsidRPr="0005330C" w:rsidRDefault="0005330C" w:rsidP="0005330C">
      <w:pPr>
        <w:pStyle w:val="ListParagraph"/>
        <w:keepNext/>
        <w:keepLines/>
        <w:numPr>
          <w:ilvl w:val="0"/>
          <w:numId w:val="23"/>
        </w:numPr>
        <w:tabs>
          <w:tab w:val="left" w:pos="567"/>
        </w:tabs>
        <w:spacing w:before="40" w:after="0"/>
        <w:contextualSpacing w:val="0"/>
        <w:jc w:val="left"/>
        <w:outlineLvl w:val="3"/>
        <w:rPr>
          <w:rFonts w:eastAsiaTheme="majorEastAsia" w:cstheme="majorBidi"/>
          <w:b/>
          <w:iCs/>
          <w:vanish/>
        </w:rPr>
      </w:pPr>
    </w:p>
    <w:p w14:paraId="55F4A370" w14:textId="50B3B0C8" w:rsidR="00AE21B1" w:rsidRPr="00A32FA6" w:rsidRDefault="00AE21B1" w:rsidP="0005330C">
      <w:pPr>
        <w:pStyle w:val="Heading4"/>
      </w:pPr>
      <w:r>
        <w:t>C</w:t>
      </w:r>
      <w:r w:rsidRPr="00A32FA6">
        <w:t xml:space="preserve">alculation of the </w:t>
      </w:r>
      <w:r w:rsidR="005114E2">
        <w:t>risk measure</w:t>
      </w:r>
      <w:bookmarkEnd w:id="6"/>
    </w:p>
    <w:p w14:paraId="252EF387" w14:textId="68B12DCA" w:rsidR="00AE21B1" w:rsidRDefault="00AE21B1" w:rsidP="00E216F8">
      <w:pPr>
        <w:spacing w:after="0" w:line="276" w:lineRule="auto"/>
        <w:jc w:val="left"/>
        <w:rPr>
          <w:szCs w:val="24"/>
        </w:rPr>
      </w:pPr>
      <w:r w:rsidRPr="005E210A">
        <w:rPr>
          <w:szCs w:val="24"/>
        </w:rPr>
        <w:t xml:space="preserve">The </w:t>
      </w:r>
      <w:r w:rsidR="005114E2">
        <w:rPr>
          <w:szCs w:val="24"/>
        </w:rPr>
        <w:t>risk measure</w:t>
      </w:r>
      <w:r w:rsidRPr="005E210A">
        <w:rPr>
          <w:szCs w:val="24"/>
        </w:rPr>
        <w:t xml:space="preserve"> is calculated by a sequence of steps:</w:t>
      </w:r>
    </w:p>
    <w:p w14:paraId="19F50AEF" w14:textId="77777777" w:rsidR="00217AEF" w:rsidRPr="005E210A" w:rsidRDefault="00217AEF" w:rsidP="00E216F8">
      <w:pPr>
        <w:spacing w:after="0" w:line="276" w:lineRule="auto"/>
        <w:jc w:val="left"/>
        <w:rPr>
          <w:szCs w:val="24"/>
        </w:rPr>
      </w:pPr>
    </w:p>
    <w:p w14:paraId="06608AEF" w14:textId="5E13947B" w:rsidR="00AE21B1" w:rsidRDefault="00E369EA" w:rsidP="00E216F8">
      <w:pPr>
        <w:spacing w:after="0" w:line="276" w:lineRule="auto"/>
        <w:jc w:val="left"/>
        <w:rPr>
          <w:szCs w:val="24"/>
        </w:rPr>
      </w:pPr>
      <w:r w:rsidRPr="006B62D7">
        <w:rPr>
          <w:b/>
          <w:bCs/>
          <w:szCs w:val="24"/>
        </w:rPr>
        <w:t>Step 1</w:t>
      </w:r>
      <w:r w:rsidR="006B62D7">
        <w:rPr>
          <w:b/>
          <w:bCs/>
          <w:szCs w:val="24"/>
        </w:rPr>
        <w:t>:</w:t>
      </w:r>
      <w:r w:rsidRPr="00E369EA">
        <w:rPr>
          <w:szCs w:val="24"/>
        </w:rPr>
        <w:t xml:space="preserve"> </w:t>
      </w:r>
      <w:r w:rsidR="00AE21B1" w:rsidRPr="00E369EA">
        <w:rPr>
          <w:szCs w:val="24"/>
        </w:rPr>
        <w:t>Establish the baseline financial position of the scheme at the effective date. For this purpose, the scheme’s f</w:t>
      </w:r>
      <w:r w:rsidR="009C23FE">
        <w:rPr>
          <w:szCs w:val="24"/>
        </w:rPr>
        <w:t>u</w:t>
      </w:r>
      <w:r w:rsidR="00AE21B1" w:rsidRPr="00E369EA">
        <w:rPr>
          <w:szCs w:val="24"/>
        </w:rPr>
        <w:t xml:space="preserve">nding standard liabilities, including the funding standard reserve, are compared </w:t>
      </w:r>
      <w:r w:rsidR="00151D79">
        <w:rPr>
          <w:szCs w:val="24"/>
        </w:rPr>
        <w:t>with</w:t>
      </w:r>
      <w:r w:rsidR="00151D79" w:rsidRPr="00E369EA">
        <w:rPr>
          <w:szCs w:val="24"/>
        </w:rPr>
        <w:t xml:space="preserve"> </w:t>
      </w:r>
      <w:r w:rsidR="00AE21B1" w:rsidRPr="00E369EA">
        <w:rPr>
          <w:szCs w:val="24"/>
        </w:rPr>
        <w:t>the scheme’s resources.</w:t>
      </w:r>
      <w:r w:rsidR="00833A5B">
        <w:rPr>
          <w:szCs w:val="24"/>
        </w:rPr>
        <w:t xml:space="preserve"> For schemes that are </w:t>
      </w:r>
      <w:r w:rsidR="008A40A0">
        <w:rPr>
          <w:szCs w:val="24"/>
        </w:rPr>
        <w:t>on</w:t>
      </w:r>
      <w:r w:rsidR="00833A5B">
        <w:rPr>
          <w:szCs w:val="24"/>
        </w:rPr>
        <w:t xml:space="preserve"> a funding proposal, see the note below in section 3.5.</w:t>
      </w:r>
      <w:r w:rsidR="00646C2C">
        <w:rPr>
          <w:szCs w:val="24"/>
        </w:rPr>
        <w:t xml:space="preserve">    </w:t>
      </w:r>
    </w:p>
    <w:p w14:paraId="3ED57775" w14:textId="77777777" w:rsidR="00217AEF" w:rsidRPr="00E369EA" w:rsidRDefault="00217AEF" w:rsidP="00E216F8">
      <w:pPr>
        <w:spacing w:after="0" w:line="276" w:lineRule="auto"/>
        <w:jc w:val="left"/>
        <w:rPr>
          <w:szCs w:val="24"/>
        </w:rPr>
      </w:pPr>
    </w:p>
    <w:p w14:paraId="6D7D23F4" w14:textId="30341AAF" w:rsidR="00AE21B1" w:rsidRDefault="00E369EA" w:rsidP="00E216F8">
      <w:pPr>
        <w:spacing w:after="0" w:line="276" w:lineRule="auto"/>
        <w:jc w:val="left"/>
        <w:rPr>
          <w:szCs w:val="24"/>
        </w:rPr>
      </w:pPr>
      <w:r w:rsidRPr="006B62D7">
        <w:rPr>
          <w:b/>
          <w:bCs/>
          <w:szCs w:val="24"/>
        </w:rPr>
        <w:t>Step 2</w:t>
      </w:r>
      <w:r w:rsidR="006B62D7">
        <w:rPr>
          <w:b/>
          <w:bCs/>
          <w:szCs w:val="24"/>
        </w:rPr>
        <w:t>:</w:t>
      </w:r>
      <w:r w:rsidRPr="00607E4F">
        <w:rPr>
          <w:szCs w:val="24"/>
        </w:rPr>
        <w:t xml:space="preserve"> </w:t>
      </w:r>
      <w:r w:rsidR="00325D11">
        <w:rPr>
          <w:szCs w:val="24"/>
        </w:rPr>
        <w:t xml:space="preserve">Identify the relevant risk modules. </w:t>
      </w:r>
      <w:r w:rsidR="00AE21B1" w:rsidRPr="00F56828">
        <w:rPr>
          <w:szCs w:val="24"/>
        </w:rPr>
        <w:t xml:space="preserve">Financial risks will arise from both the scheme’s assets and </w:t>
      </w:r>
      <w:r w:rsidR="00D12244" w:rsidRPr="00F56828">
        <w:rPr>
          <w:szCs w:val="24"/>
        </w:rPr>
        <w:t xml:space="preserve">the scheme’s </w:t>
      </w:r>
      <w:r w:rsidR="00AE21B1" w:rsidRPr="00F56828">
        <w:rPr>
          <w:szCs w:val="24"/>
        </w:rPr>
        <w:t>liabilities.</w:t>
      </w:r>
    </w:p>
    <w:p w14:paraId="2D0E62B2" w14:textId="77777777" w:rsidR="00217AEF" w:rsidRPr="00F56828" w:rsidRDefault="00217AEF" w:rsidP="00E216F8">
      <w:pPr>
        <w:spacing w:after="0" w:line="276" w:lineRule="auto"/>
        <w:jc w:val="left"/>
        <w:rPr>
          <w:szCs w:val="24"/>
        </w:rPr>
      </w:pPr>
    </w:p>
    <w:p w14:paraId="2E6330A3" w14:textId="673A94EF" w:rsidR="00AE21B1" w:rsidRDefault="00E369EA" w:rsidP="00E216F8">
      <w:pPr>
        <w:spacing w:after="0" w:line="276" w:lineRule="auto"/>
        <w:jc w:val="left"/>
        <w:rPr>
          <w:szCs w:val="24"/>
        </w:rPr>
      </w:pPr>
      <w:r w:rsidRPr="006B62D7">
        <w:rPr>
          <w:b/>
          <w:bCs/>
          <w:szCs w:val="24"/>
        </w:rPr>
        <w:t>Step 3</w:t>
      </w:r>
      <w:r w:rsidR="006B62D7">
        <w:rPr>
          <w:b/>
          <w:bCs/>
          <w:szCs w:val="24"/>
        </w:rPr>
        <w:t>:</w:t>
      </w:r>
      <w:r w:rsidRPr="00F56828">
        <w:rPr>
          <w:szCs w:val="24"/>
        </w:rPr>
        <w:t xml:space="preserve"> </w:t>
      </w:r>
      <w:r w:rsidR="00AE21B1" w:rsidRPr="00F56828">
        <w:rPr>
          <w:szCs w:val="24"/>
        </w:rPr>
        <w:t xml:space="preserve">Calculate the shocks under each risk module </w:t>
      </w:r>
      <w:r w:rsidR="00151D79">
        <w:rPr>
          <w:szCs w:val="24"/>
        </w:rPr>
        <w:t>at the</w:t>
      </w:r>
      <w:r w:rsidR="00AE21B1" w:rsidRPr="00151D79">
        <w:rPr>
          <w:szCs w:val="24"/>
        </w:rPr>
        <w:t xml:space="preserve"> </w:t>
      </w:r>
      <w:r w:rsidRPr="00151D79">
        <w:rPr>
          <w:szCs w:val="24"/>
        </w:rPr>
        <w:t xml:space="preserve">99.5% </w:t>
      </w:r>
      <w:r w:rsidR="00AE21B1" w:rsidRPr="00151D79">
        <w:rPr>
          <w:szCs w:val="24"/>
        </w:rPr>
        <w:t>risk measure percentage level</w:t>
      </w:r>
      <w:r w:rsidR="00966CD0">
        <w:rPr>
          <w:szCs w:val="24"/>
        </w:rPr>
        <w:t>.</w:t>
      </w:r>
      <w:r w:rsidR="00AE21B1" w:rsidRPr="00151D79">
        <w:rPr>
          <w:szCs w:val="24"/>
        </w:rPr>
        <w:t xml:space="preserve"> </w:t>
      </w:r>
    </w:p>
    <w:p w14:paraId="72D6C89A" w14:textId="77777777" w:rsidR="00217AEF" w:rsidRPr="00151D79" w:rsidRDefault="00217AEF" w:rsidP="00E216F8">
      <w:pPr>
        <w:spacing w:after="0" w:line="276" w:lineRule="auto"/>
        <w:jc w:val="left"/>
        <w:rPr>
          <w:szCs w:val="24"/>
        </w:rPr>
      </w:pPr>
    </w:p>
    <w:p w14:paraId="40B496A8" w14:textId="0FC8B229" w:rsidR="00AE21B1" w:rsidRDefault="00E369EA" w:rsidP="00E216F8">
      <w:pPr>
        <w:spacing w:after="0" w:line="276" w:lineRule="auto"/>
        <w:jc w:val="left"/>
        <w:rPr>
          <w:szCs w:val="24"/>
        </w:rPr>
      </w:pPr>
      <w:r w:rsidRPr="006B62D7">
        <w:rPr>
          <w:b/>
          <w:bCs/>
          <w:szCs w:val="24"/>
        </w:rPr>
        <w:t>Step 4</w:t>
      </w:r>
      <w:r w:rsidR="006B62D7">
        <w:rPr>
          <w:b/>
          <w:bCs/>
          <w:szCs w:val="24"/>
        </w:rPr>
        <w:t>:</w:t>
      </w:r>
      <w:r w:rsidRPr="00151D79">
        <w:rPr>
          <w:szCs w:val="24"/>
        </w:rPr>
        <w:t xml:space="preserve"> </w:t>
      </w:r>
      <w:r w:rsidR="00AE21B1" w:rsidRPr="00151D79">
        <w:rPr>
          <w:szCs w:val="24"/>
        </w:rPr>
        <w:t xml:space="preserve">Calculate the diversification benefits </w:t>
      </w:r>
      <w:r w:rsidR="0097604F" w:rsidRPr="00151D79">
        <w:rPr>
          <w:szCs w:val="24"/>
        </w:rPr>
        <w:t xml:space="preserve">arising from the correlation of risks </w:t>
      </w:r>
      <w:r w:rsidR="00AE21B1" w:rsidRPr="00151D79">
        <w:rPr>
          <w:szCs w:val="24"/>
        </w:rPr>
        <w:t>using the formula</w:t>
      </w:r>
      <w:r w:rsidR="00AF493A">
        <w:rPr>
          <w:szCs w:val="24"/>
        </w:rPr>
        <w:t xml:space="preserve"> documented in the spreadsheet</w:t>
      </w:r>
      <w:r w:rsidR="00AE21B1" w:rsidRPr="00AF493A">
        <w:rPr>
          <w:szCs w:val="24"/>
        </w:rPr>
        <w:t>.</w:t>
      </w:r>
    </w:p>
    <w:p w14:paraId="44C1A2F3" w14:textId="77777777" w:rsidR="00217AEF" w:rsidRDefault="00217AEF" w:rsidP="00E216F8">
      <w:pPr>
        <w:spacing w:after="0" w:line="276" w:lineRule="auto"/>
        <w:jc w:val="left"/>
        <w:rPr>
          <w:szCs w:val="24"/>
        </w:rPr>
      </w:pPr>
    </w:p>
    <w:p w14:paraId="702D8BF3" w14:textId="6E85D397" w:rsidR="00151D79" w:rsidRDefault="00151D79" w:rsidP="00E216F8">
      <w:pPr>
        <w:spacing w:after="0" w:line="276" w:lineRule="auto"/>
        <w:jc w:val="left"/>
        <w:rPr>
          <w:szCs w:val="24"/>
        </w:rPr>
      </w:pPr>
      <w:r w:rsidRPr="006B62D7">
        <w:rPr>
          <w:b/>
          <w:bCs/>
          <w:szCs w:val="24"/>
        </w:rPr>
        <w:t>Step 5</w:t>
      </w:r>
      <w:r w:rsidR="006B62D7">
        <w:rPr>
          <w:b/>
          <w:bCs/>
          <w:szCs w:val="24"/>
        </w:rPr>
        <w:t>:</w:t>
      </w:r>
      <w:r>
        <w:rPr>
          <w:szCs w:val="24"/>
        </w:rPr>
        <w:t xml:space="preserve"> Compare the total shocks less diversification benefits with</w:t>
      </w:r>
      <w:r w:rsidR="00AF493A">
        <w:rPr>
          <w:szCs w:val="24"/>
        </w:rPr>
        <w:t xml:space="preserve"> the excess of scheme assets over liabilities.</w:t>
      </w:r>
      <w:r>
        <w:rPr>
          <w:szCs w:val="24"/>
        </w:rPr>
        <w:t xml:space="preserve"> </w:t>
      </w:r>
    </w:p>
    <w:p w14:paraId="1C5203D2" w14:textId="77777777" w:rsidR="00217AEF" w:rsidRPr="00151D79" w:rsidRDefault="00217AEF" w:rsidP="00E216F8">
      <w:pPr>
        <w:spacing w:after="0" w:line="276" w:lineRule="auto"/>
        <w:jc w:val="left"/>
        <w:rPr>
          <w:szCs w:val="24"/>
        </w:rPr>
      </w:pPr>
    </w:p>
    <w:p w14:paraId="44BDB9B9" w14:textId="1F1334A7" w:rsidR="00411F56" w:rsidRDefault="00E369EA" w:rsidP="00E216F8">
      <w:pPr>
        <w:spacing w:after="0" w:line="276" w:lineRule="auto"/>
        <w:jc w:val="left"/>
        <w:rPr>
          <w:szCs w:val="24"/>
        </w:rPr>
      </w:pPr>
      <w:r w:rsidRPr="006B62D7">
        <w:rPr>
          <w:b/>
          <w:bCs/>
          <w:szCs w:val="24"/>
        </w:rPr>
        <w:t xml:space="preserve">Step </w:t>
      </w:r>
      <w:r w:rsidR="00AF493A" w:rsidRPr="006B62D7">
        <w:rPr>
          <w:b/>
          <w:bCs/>
          <w:szCs w:val="24"/>
        </w:rPr>
        <w:t>6</w:t>
      </w:r>
      <w:r w:rsidR="006B62D7">
        <w:rPr>
          <w:b/>
          <w:bCs/>
          <w:szCs w:val="24"/>
        </w:rPr>
        <w:t>:</w:t>
      </w:r>
      <w:r w:rsidRPr="00AF493A">
        <w:rPr>
          <w:szCs w:val="24"/>
        </w:rPr>
        <w:t xml:space="preserve"> </w:t>
      </w:r>
      <w:r w:rsidR="00886C15">
        <w:rPr>
          <w:szCs w:val="24"/>
        </w:rPr>
        <w:t>If necessary, r</w:t>
      </w:r>
      <w:r w:rsidR="00AE21B1" w:rsidRPr="00AF493A">
        <w:rPr>
          <w:szCs w:val="24"/>
        </w:rPr>
        <w:t>ecalculate the shocks and the diversification benefits</w:t>
      </w:r>
      <w:r w:rsidR="00AF493A">
        <w:rPr>
          <w:szCs w:val="24"/>
        </w:rPr>
        <w:t xml:space="preserve"> at successively lower </w:t>
      </w:r>
      <w:r w:rsidR="00AF493A" w:rsidRPr="00151D79">
        <w:rPr>
          <w:szCs w:val="24"/>
        </w:rPr>
        <w:t>risk measure percentage level</w:t>
      </w:r>
      <w:r w:rsidR="00AF493A">
        <w:rPr>
          <w:szCs w:val="24"/>
        </w:rPr>
        <w:t>s</w:t>
      </w:r>
      <w:r w:rsidR="00AE21B1" w:rsidRPr="00AF493A">
        <w:rPr>
          <w:szCs w:val="24"/>
        </w:rPr>
        <w:t>, until the highest percentage level that the scheme can absorb is found.</w:t>
      </w:r>
    </w:p>
    <w:p w14:paraId="040D7A7B" w14:textId="77777777" w:rsidR="006B62D7" w:rsidRDefault="006B62D7" w:rsidP="00E216F8">
      <w:pPr>
        <w:spacing w:after="0" w:line="276" w:lineRule="auto"/>
        <w:jc w:val="left"/>
        <w:rPr>
          <w:szCs w:val="24"/>
        </w:rPr>
      </w:pPr>
    </w:p>
    <w:p w14:paraId="6B0474E9" w14:textId="2167999A" w:rsidR="00AE21B1" w:rsidRDefault="00AE21B1" w:rsidP="00E216F8">
      <w:pPr>
        <w:spacing w:after="0" w:line="276" w:lineRule="auto"/>
        <w:jc w:val="left"/>
        <w:rPr>
          <w:szCs w:val="24"/>
        </w:rPr>
      </w:pPr>
      <w:r w:rsidRPr="00AF493A">
        <w:rPr>
          <w:szCs w:val="24"/>
        </w:rPr>
        <w:t xml:space="preserve">This level is taken as the </w:t>
      </w:r>
      <w:r w:rsidR="00584439">
        <w:rPr>
          <w:szCs w:val="24"/>
        </w:rPr>
        <w:t>DB</w:t>
      </w:r>
      <w:r w:rsidRPr="00AF493A">
        <w:rPr>
          <w:szCs w:val="24"/>
        </w:rPr>
        <w:t xml:space="preserve"> financial risk measure for the scheme</w:t>
      </w:r>
      <w:r w:rsidR="00D12244" w:rsidRPr="00AF493A">
        <w:rPr>
          <w:szCs w:val="24"/>
        </w:rPr>
        <w:t>.</w:t>
      </w:r>
    </w:p>
    <w:p w14:paraId="39B975BA" w14:textId="77777777" w:rsidR="006B62D7" w:rsidRPr="00AF493A" w:rsidRDefault="006B62D7" w:rsidP="00E216F8">
      <w:pPr>
        <w:spacing w:after="0" w:line="276" w:lineRule="auto"/>
        <w:ind w:firstLine="360"/>
        <w:jc w:val="left"/>
        <w:rPr>
          <w:szCs w:val="24"/>
        </w:rPr>
      </w:pPr>
    </w:p>
    <w:p w14:paraId="6902D32D" w14:textId="4AEA832A" w:rsidR="009D04EB" w:rsidRPr="009D04EB" w:rsidRDefault="00325D11" w:rsidP="0005330C">
      <w:pPr>
        <w:pStyle w:val="Heading4"/>
      </w:pPr>
      <w:bookmarkStart w:id="7" w:name="_Toc87976282"/>
      <w:r>
        <w:t>Identifying the relevant risk modules</w:t>
      </w:r>
      <w:bookmarkEnd w:id="7"/>
    </w:p>
    <w:p w14:paraId="5AEB9652" w14:textId="1E7C6018" w:rsidR="00C21AE4" w:rsidRDefault="00D12244" w:rsidP="00E216F8">
      <w:pPr>
        <w:spacing w:after="0" w:line="276" w:lineRule="auto"/>
        <w:jc w:val="left"/>
        <w:rPr>
          <w:szCs w:val="24"/>
        </w:rPr>
      </w:pPr>
      <w:r w:rsidRPr="005E210A">
        <w:rPr>
          <w:szCs w:val="24"/>
        </w:rPr>
        <w:t xml:space="preserve">The table below illustrates how a typical </w:t>
      </w:r>
      <w:r w:rsidR="00584439">
        <w:rPr>
          <w:szCs w:val="24"/>
        </w:rPr>
        <w:t>DB</w:t>
      </w:r>
      <w:r w:rsidRPr="005E210A">
        <w:rPr>
          <w:szCs w:val="24"/>
        </w:rPr>
        <w:t xml:space="preserve"> scheme might appear under step 2 of the above</w:t>
      </w:r>
      <w:r w:rsidR="00666160" w:rsidRPr="005E210A">
        <w:rPr>
          <w:szCs w:val="24"/>
        </w:rPr>
        <w:t>, i.e., mapping of the application of the risk modules onto the scheme.</w:t>
      </w:r>
    </w:p>
    <w:p w14:paraId="60B423A7" w14:textId="79C8B6E6" w:rsidR="006B62D7" w:rsidRDefault="006B62D7" w:rsidP="00E216F8">
      <w:pPr>
        <w:spacing w:after="0" w:line="276" w:lineRule="auto"/>
        <w:jc w:val="left"/>
        <w:rPr>
          <w:szCs w:val="24"/>
        </w:rPr>
      </w:pPr>
    </w:p>
    <w:p w14:paraId="241D91B7" w14:textId="756EC3A4" w:rsidR="006B62D7" w:rsidRDefault="006B62D7" w:rsidP="00E216F8">
      <w:pPr>
        <w:spacing w:after="0" w:line="276" w:lineRule="auto"/>
        <w:jc w:val="left"/>
        <w:rPr>
          <w:szCs w:val="24"/>
        </w:rPr>
      </w:pPr>
    </w:p>
    <w:p w14:paraId="35546FF4" w14:textId="77777777" w:rsidR="00C51050" w:rsidRDefault="00C51050" w:rsidP="00E216F8">
      <w:pPr>
        <w:spacing w:after="0" w:line="276" w:lineRule="auto"/>
        <w:jc w:val="left"/>
        <w:rPr>
          <w:szCs w:val="24"/>
        </w:rPr>
      </w:pPr>
    </w:p>
    <w:p w14:paraId="4B85E5F8" w14:textId="6AD43754" w:rsidR="006B62D7" w:rsidRDefault="006B62D7" w:rsidP="00E216F8">
      <w:pPr>
        <w:spacing w:after="0" w:line="276" w:lineRule="auto"/>
        <w:jc w:val="left"/>
        <w:rPr>
          <w:szCs w:val="24"/>
        </w:rPr>
      </w:pPr>
    </w:p>
    <w:p w14:paraId="6A5B825B" w14:textId="53A4CC2D" w:rsidR="006B62D7" w:rsidRDefault="006B62D7" w:rsidP="00E216F8">
      <w:pPr>
        <w:spacing w:after="0" w:line="276" w:lineRule="auto"/>
        <w:jc w:val="left"/>
        <w:rPr>
          <w:szCs w:val="24"/>
        </w:rPr>
      </w:pPr>
    </w:p>
    <w:p w14:paraId="7439C27F" w14:textId="77777777" w:rsidR="006B62D7" w:rsidRPr="005E210A" w:rsidRDefault="006B62D7" w:rsidP="00E216F8">
      <w:pPr>
        <w:spacing w:after="0" w:line="276" w:lineRule="auto"/>
        <w:jc w:val="left"/>
        <w:rPr>
          <w:szCs w:val="24"/>
        </w:rPr>
      </w:pPr>
    </w:p>
    <w:p w14:paraId="0ECD3308" w14:textId="749D72A5" w:rsidR="00570407" w:rsidRPr="006B62D7" w:rsidRDefault="00287B81" w:rsidP="00E216F8">
      <w:pPr>
        <w:spacing w:after="0" w:line="276" w:lineRule="auto"/>
        <w:jc w:val="left"/>
        <w:rPr>
          <w:b/>
          <w:bCs/>
          <w:szCs w:val="24"/>
        </w:rPr>
      </w:pPr>
      <w:r w:rsidRPr="006B62D7">
        <w:rPr>
          <w:b/>
          <w:bCs/>
          <w:szCs w:val="24"/>
        </w:rPr>
        <w:t xml:space="preserve">Table </w:t>
      </w:r>
      <w:r w:rsidR="00DD2B9D">
        <w:rPr>
          <w:b/>
          <w:bCs/>
          <w:szCs w:val="24"/>
        </w:rPr>
        <w:t>3</w:t>
      </w:r>
      <w:r w:rsidR="00137B50" w:rsidRPr="006B62D7">
        <w:rPr>
          <w:b/>
          <w:bCs/>
          <w:szCs w:val="24"/>
        </w:rPr>
        <w:t xml:space="preserve"> </w:t>
      </w:r>
      <w:r w:rsidR="007C04DF">
        <w:rPr>
          <w:b/>
          <w:bCs/>
          <w:szCs w:val="24"/>
        </w:rPr>
        <w:t>I</w:t>
      </w:r>
      <w:r w:rsidR="00AF493A" w:rsidRPr="006B62D7">
        <w:rPr>
          <w:b/>
          <w:bCs/>
          <w:szCs w:val="24"/>
        </w:rPr>
        <w:t xml:space="preserve">dentification of risk occurrences in a typical </w:t>
      </w:r>
      <w:r w:rsidR="00584439" w:rsidRPr="006B62D7">
        <w:rPr>
          <w:b/>
          <w:bCs/>
          <w:szCs w:val="24"/>
        </w:rPr>
        <w:t>DB</w:t>
      </w:r>
      <w:r w:rsidR="00AF493A" w:rsidRPr="006B62D7">
        <w:rPr>
          <w:b/>
          <w:bCs/>
          <w:szCs w:val="24"/>
        </w:rPr>
        <w:t xml:space="preserve"> scheme</w:t>
      </w:r>
    </w:p>
    <w:tbl>
      <w:tblPr>
        <w:tblStyle w:val="ListTable4-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228"/>
        <w:gridCol w:w="1229"/>
        <w:gridCol w:w="1228"/>
        <w:gridCol w:w="1229"/>
        <w:gridCol w:w="1182"/>
        <w:gridCol w:w="1275"/>
      </w:tblGrid>
      <w:tr w:rsidR="00CC13B8" w:rsidRPr="00570407" w14:paraId="4DE202DF" w14:textId="77777777" w:rsidTr="00CC13B8">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696" w:type="dxa"/>
            <w:shd w:val="clear" w:color="auto" w:fill="002060"/>
            <w:vAlign w:val="center"/>
            <w:hideMark/>
          </w:tcPr>
          <w:p w14:paraId="00BAC155" w14:textId="77777777" w:rsidR="00377155" w:rsidRPr="006B62D7" w:rsidRDefault="00377155" w:rsidP="00E216F8">
            <w:pPr>
              <w:spacing w:after="0" w:line="276" w:lineRule="auto"/>
              <w:jc w:val="left"/>
              <w:rPr>
                <w:rFonts w:eastAsia="Times New Roman" w:cs="Arial"/>
                <w:color w:val="FFFFFF"/>
                <w:sz w:val="22"/>
                <w:lang w:val="en-IE" w:eastAsia="en-IE"/>
              </w:rPr>
            </w:pPr>
            <w:bookmarkStart w:id="8" w:name="_Hlk86236150"/>
            <w:r w:rsidRPr="006B62D7">
              <w:rPr>
                <w:rFonts w:eastAsia="Times New Roman" w:cs="Arial"/>
                <w:color w:val="FFFFFF"/>
                <w:sz w:val="22"/>
                <w:lang w:val="en-IE" w:eastAsia="en-IE"/>
              </w:rPr>
              <w:lastRenderedPageBreak/>
              <w:t>Risk sources</w:t>
            </w:r>
          </w:p>
        </w:tc>
        <w:tc>
          <w:tcPr>
            <w:tcW w:w="1228" w:type="dxa"/>
            <w:shd w:val="clear" w:color="auto" w:fill="002060"/>
            <w:vAlign w:val="center"/>
            <w:hideMark/>
          </w:tcPr>
          <w:p w14:paraId="17977AED" w14:textId="77777777" w:rsidR="00377155" w:rsidRPr="006B62D7" w:rsidRDefault="00377155" w:rsidP="00E216F8">
            <w:pPr>
              <w:spacing w:after="0" w:line="276" w:lineRule="auto"/>
              <w:jc w:val="left"/>
              <w:cnfStyle w:val="100000000000" w:firstRow="1" w:lastRow="0" w:firstColumn="0" w:lastColumn="0" w:oddVBand="0" w:evenVBand="0" w:oddHBand="0" w:evenHBand="0" w:firstRowFirstColumn="0" w:firstRowLastColumn="0" w:lastRowFirstColumn="0" w:lastRowLastColumn="0"/>
              <w:rPr>
                <w:rFonts w:eastAsia="Times New Roman" w:cs="Arial"/>
                <w:color w:val="FFFFFF"/>
                <w:sz w:val="22"/>
                <w:lang w:val="en-IE" w:eastAsia="en-IE"/>
              </w:rPr>
            </w:pPr>
            <w:r w:rsidRPr="006B62D7">
              <w:rPr>
                <w:rFonts w:eastAsia="Times New Roman" w:cs="Arial"/>
                <w:color w:val="FFFFFF"/>
                <w:sz w:val="22"/>
                <w:lang w:val="en-IE" w:eastAsia="en-IE"/>
              </w:rPr>
              <w:t>Equity</w:t>
            </w:r>
          </w:p>
        </w:tc>
        <w:tc>
          <w:tcPr>
            <w:tcW w:w="1229" w:type="dxa"/>
            <w:shd w:val="clear" w:color="auto" w:fill="002060"/>
            <w:vAlign w:val="center"/>
            <w:hideMark/>
          </w:tcPr>
          <w:p w14:paraId="15C69C4D" w14:textId="77777777" w:rsidR="00377155" w:rsidRPr="006B62D7" w:rsidRDefault="00377155" w:rsidP="00E216F8">
            <w:pPr>
              <w:spacing w:after="0" w:line="276" w:lineRule="auto"/>
              <w:jc w:val="left"/>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sz w:val="22"/>
                <w:lang w:val="en-IE" w:eastAsia="en-IE"/>
              </w:rPr>
            </w:pPr>
            <w:r w:rsidRPr="006B62D7">
              <w:rPr>
                <w:rFonts w:eastAsia="Times New Roman" w:cs="Arial"/>
                <w:color w:val="FFFFFF"/>
                <w:sz w:val="22"/>
                <w:lang w:val="en-IE" w:eastAsia="en-IE"/>
              </w:rPr>
              <w:t>Interest rate</w:t>
            </w:r>
          </w:p>
          <w:p w14:paraId="29538D8C" w14:textId="68BF810C" w:rsidR="008271DA" w:rsidRPr="006B62D7" w:rsidRDefault="008271DA" w:rsidP="00E216F8">
            <w:pPr>
              <w:spacing w:after="0" w:line="276" w:lineRule="auto"/>
              <w:jc w:val="left"/>
              <w:cnfStyle w:val="100000000000" w:firstRow="1" w:lastRow="0" w:firstColumn="0" w:lastColumn="0" w:oddVBand="0" w:evenVBand="0" w:oddHBand="0" w:evenHBand="0" w:firstRowFirstColumn="0" w:firstRowLastColumn="0" w:lastRowFirstColumn="0" w:lastRowLastColumn="0"/>
              <w:rPr>
                <w:rFonts w:eastAsia="Times New Roman" w:cs="Arial"/>
                <w:color w:val="FFFFFF"/>
                <w:sz w:val="22"/>
                <w:lang w:val="en-IE" w:eastAsia="en-IE"/>
              </w:rPr>
            </w:pPr>
          </w:p>
        </w:tc>
        <w:tc>
          <w:tcPr>
            <w:tcW w:w="1228" w:type="dxa"/>
            <w:shd w:val="clear" w:color="auto" w:fill="002060"/>
            <w:vAlign w:val="center"/>
            <w:hideMark/>
          </w:tcPr>
          <w:p w14:paraId="056A02BA" w14:textId="77777777" w:rsidR="00377155" w:rsidRPr="006B62D7" w:rsidRDefault="00377155" w:rsidP="00E216F8">
            <w:pPr>
              <w:spacing w:after="0" w:line="276" w:lineRule="auto"/>
              <w:jc w:val="left"/>
              <w:cnfStyle w:val="100000000000" w:firstRow="1" w:lastRow="0" w:firstColumn="0" w:lastColumn="0" w:oddVBand="0" w:evenVBand="0" w:oddHBand="0" w:evenHBand="0" w:firstRowFirstColumn="0" w:firstRowLastColumn="0" w:lastRowFirstColumn="0" w:lastRowLastColumn="0"/>
              <w:rPr>
                <w:rFonts w:eastAsia="Times New Roman" w:cs="Arial"/>
                <w:color w:val="FFFFFF"/>
                <w:sz w:val="22"/>
                <w:lang w:val="en-IE" w:eastAsia="en-IE"/>
              </w:rPr>
            </w:pPr>
            <w:r w:rsidRPr="006B62D7">
              <w:rPr>
                <w:rFonts w:eastAsia="Times New Roman" w:cs="Arial"/>
                <w:color w:val="FFFFFF"/>
                <w:sz w:val="22"/>
                <w:lang w:val="en-IE" w:eastAsia="en-IE"/>
              </w:rPr>
              <w:t>Credit Stress</w:t>
            </w:r>
          </w:p>
        </w:tc>
        <w:tc>
          <w:tcPr>
            <w:tcW w:w="1229" w:type="dxa"/>
            <w:shd w:val="clear" w:color="auto" w:fill="002060"/>
            <w:vAlign w:val="center"/>
            <w:hideMark/>
          </w:tcPr>
          <w:p w14:paraId="4EF740A5" w14:textId="77777777" w:rsidR="00377155" w:rsidRPr="006B62D7" w:rsidRDefault="00377155" w:rsidP="00E216F8">
            <w:pPr>
              <w:spacing w:after="0" w:line="276" w:lineRule="auto"/>
              <w:jc w:val="left"/>
              <w:cnfStyle w:val="100000000000" w:firstRow="1" w:lastRow="0" w:firstColumn="0" w:lastColumn="0" w:oddVBand="0" w:evenVBand="0" w:oddHBand="0" w:evenHBand="0" w:firstRowFirstColumn="0" w:firstRowLastColumn="0" w:lastRowFirstColumn="0" w:lastRowLastColumn="0"/>
              <w:rPr>
                <w:rFonts w:eastAsia="Times New Roman" w:cs="Arial"/>
                <w:color w:val="FFFFFF"/>
                <w:sz w:val="22"/>
                <w:lang w:val="en-IE" w:eastAsia="en-IE"/>
              </w:rPr>
            </w:pPr>
            <w:r w:rsidRPr="006B62D7">
              <w:rPr>
                <w:rFonts w:eastAsia="Times New Roman" w:cs="Arial"/>
                <w:color w:val="FFFFFF"/>
                <w:sz w:val="22"/>
                <w:lang w:val="en-IE" w:eastAsia="en-IE"/>
              </w:rPr>
              <w:t>Property</w:t>
            </w:r>
          </w:p>
        </w:tc>
        <w:tc>
          <w:tcPr>
            <w:tcW w:w="1182" w:type="dxa"/>
            <w:shd w:val="clear" w:color="auto" w:fill="002060"/>
            <w:vAlign w:val="center"/>
            <w:hideMark/>
          </w:tcPr>
          <w:p w14:paraId="5750726D" w14:textId="77777777" w:rsidR="00377155" w:rsidRPr="006B62D7" w:rsidRDefault="00377155" w:rsidP="00E216F8">
            <w:pPr>
              <w:spacing w:after="0" w:line="276" w:lineRule="auto"/>
              <w:jc w:val="left"/>
              <w:cnfStyle w:val="100000000000" w:firstRow="1" w:lastRow="0" w:firstColumn="0" w:lastColumn="0" w:oddVBand="0" w:evenVBand="0" w:oddHBand="0" w:evenHBand="0" w:firstRowFirstColumn="0" w:firstRowLastColumn="0" w:lastRowFirstColumn="0" w:lastRowLastColumn="0"/>
              <w:rPr>
                <w:rFonts w:eastAsia="Times New Roman" w:cs="Arial"/>
                <w:color w:val="FFFFFF"/>
                <w:sz w:val="22"/>
                <w:lang w:val="en-IE" w:eastAsia="en-IE"/>
              </w:rPr>
            </w:pPr>
            <w:r w:rsidRPr="006B62D7">
              <w:rPr>
                <w:rFonts w:eastAsia="Times New Roman" w:cs="Arial"/>
                <w:color w:val="FFFFFF"/>
                <w:sz w:val="22"/>
                <w:lang w:val="en-IE" w:eastAsia="en-IE"/>
              </w:rPr>
              <w:t>Currency</w:t>
            </w:r>
          </w:p>
        </w:tc>
        <w:tc>
          <w:tcPr>
            <w:tcW w:w="1275" w:type="dxa"/>
            <w:shd w:val="clear" w:color="auto" w:fill="002060"/>
            <w:vAlign w:val="center"/>
            <w:hideMark/>
          </w:tcPr>
          <w:p w14:paraId="4442B336" w14:textId="77777777" w:rsidR="00377155" w:rsidRPr="006B62D7" w:rsidRDefault="00377155" w:rsidP="00E216F8">
            <w:pPr>
              <w:spacing w:after="0" w:line="276" w:lineRule="auto"/>
              <w:jc w:val="left"/>
              <w:cnfStyle w:val="100000000000" w:firstRow="1" w:lastRow="0" w:firstColumn="0" w:lastColumn="0" w:oddVBand="0" w:evenVBand="0" w:oddHBand="0" w:evenHBand="0" w:firstRowFirstColumn="0" w:firstRowLastColumn="0" w:lastRowFirstColumn="0" w:lastRowLastColumn="0"/>
              <w:rPr>
                <w:rFonts w:eastAsia="Times New Roman" w:cs="Arial"/>
                <w:color w:val="FFFFFF"/>
                <w:sz w:val="22"/>
                <w:lang w:val="en-IE" w:eastAsia="en-IE"/>
              </w:rPr>
            </w:pPr>
            <w:r w:rsidRPr="006B62D7">
              <w:rPr>
                <w:rFonts w:eastAsia="Times New Roman" w:cs="Arial"/>
                <w:color w:val="FFFFFF"/>
                <w:sz w:val="22"/>
                <w:lang w:val="en-IE" w:eastAsia="en-IE"/>
              </w:rPr>
              <w:t>Longevity</w:t>
            </w:r>
          </w:p>
        </w:tc>
      </w:tr>
      <w:tr w:rsidR="00CC13B8" w:rsidRPr="00570407" w14:paraId="4287486F" w14:textId="77777777" w:rsidTr="00CC13B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642D8AFF" w14:textId="423A37A5" w:rsidR="00377155" w:rsidRPr="006B62D7" w:rsidRDefault="00377155" w:rsidP="00E216F8">
            <w:pPr>
              <w:spacing w:after="0" w:line="276" w:lineRule="auto"/>
              <w:jc w:val="left"/>
              <w:rPr>
                <w:rFonts w:eastAsia="Times New Roman" w:cs="Arial"/>
                <w:color w:val="000000"/>
                <w:sz w:val="22"/>
                <w:lang w:val="en-IE" w:eastAsia="en-IE"/>
              </w:rPr>
            </w:pPr>
            <w:r w:rsidRPr="006B62D7">
              <w:rPr>
                <w:rFonts w:eastAsia="Times New Roman" w:cs="Arial"/>
                <w:color w:val="000000"/>
                <w:sz w:val="22"/>
                <w:lang w:val="en-IE" w:eastAsia="en-IE"/>
              </w:rPr>
              <w:t>Pensioner liability</w:t>
            </w:r>
          </w:p>
          <w:p w14:paraId="55EFF2DC" w14:textId="548A9972" w:rsidR="00377155" w:rsidRPr="006B62D7" w:rsidRDefault="00377155" w:rsidP="00E216F8">
            <w:pPr>
              <w:spacing w:after="0" w:line="276" w:lineRule="auto"/>
              <w:jc w:val="left"/>
              <w:rPr>
                <w:rFonts w:eastAsia="Times New Roman" w:cs="Arial"/>
                <w:color w:val="000000"/>
                <w:sz w:val="22"/>
                <w:lang w:val="en-IE" w:eastAsia="en-IE"/>
              </w:rPr>
            </w:pPr>
          </w:p>
        </w:tc>
        <w:tc>
          <w:tcPr>
            <w:tcW w:w="1228" w:type="dxa"/>
            <w:vAlign w:val="center"/>
            <w:hideMark/>
          </w:tcPr>
          <w:p w14:paraId="7144C5A6" w14:textId="506EE520" w:rsidR="00377155" w:rsidRPr="005E522A" w:rsidRDefault="00377155"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52"/>
                <w:szCs w:val="52"/>
                <w:lang w:val="en-IE" w:eastAsia="en-IE"/>
              </w:rPr>
            </w:pPr>
          </w:p>
        </w:tc>
        <w:tc>
          <w:tcPr>
            <w:tcW w:w="1229" w:type="dxa"/>
            <w:vAlign w:val="center"/>
            <w:hideMark/>
          </w:tcPr>
          <w:p w14:paraId="765F6870" w14:textId="77777777" w:rsidR="00377155" w:rsidRPr="005E522A" w:rsidRDefault="00377155"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color w:val="000000"/>
                <w:sz w:val="52"/>
                <w:szCs w:val="52"/>
                <w:lang w:val="en-IE" w:eastAsia="en-IE"/>
              </w:rPr>
            </w:pPr>
            <w:r w:rsidRPr="005E522A">
              <w:rPr>
                <w:rFonts w:ascii="Wingdings" w:eastAsia="Times New Roman" w:hAnsi="Wingdings" w:cs="Calibri"/>
                <w:color w:val="000000"/>
                <w:sz w:val="52"/>
                <w:szCs w:val="52"/>
                <w:lang w:val="en-IE" w:eastAsia="en-IE"/>
              </w:rPr>
              <w:t>ü</w:t>
            </w:r>
          </w:p>
        </w:tc>
        <w:tc>
          <w:tcPr>
            <w:tcW w:w="1228" w:type="dxa"/>
            <w:vAlign w:val="center"/>
            <w:hideMark/>
          </w:tcPr>
          <w:p w14:paraId="453689B2" w14:textId="4958CB86" w:rsidR="00377155" w:rsidRPr="005E522A" w:rsidRDefault="00377155"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52"/>
                <w:szCs w:val="52"/>
                <w:lang w:val="en-IE" w:eastAsia="en-IE"/>
              </w:rPr>
            </w:pPr>
          </w:p>
        </w:tc>
        <w:tc>
          <w:tcPr>
            <w:tcW w:w="1229" w:type="dxa"/>
            <w:vAlign w:val="center"/>
            <w:hideMark/>
          </w:tcPr>
          <w:p w14:paraId="584D58FD" w14:textId="6E84B7C8" w:rsidR="00377155" w:rsidRPr="005E522A" w:rsidRDefault="00377155"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52"/>
                <w:szCs w:val="52"/>
                <w:lang w:val="en-IE" w:eastAsia="en-IE"/>
              </w:rPr>
            </w:pPr>
          </w:p>
        </w:tc>
        <w:tc>
          <w:tcPr>
            <w:tcW w:w="1182" w:type="dxa"/>
            <w:vAlign w:val="center"/>
            <w:hideMark/>
          </w:tcPr>
          <w:p w14:paraId="1F04867B" w14:textId="748B6745" w:rsidR="00377155" w:rsidRPr="005E522A" w:rsidRDefault="00377155"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52"/>
                <w:szCs w:val="52"/>
                <w:lang w:val="en-IE" w:eastAsia="en-IE"/>
              </w:rPr>
            </w:pPr>
          </w:p>
        </w:tc>
        <w:tc>
          <w:tcPr>
            <w:tcW w:w="1275" w:type="dxa"/>
            <w:vAlign w:val="center"/>
            <w:hideMark/>
          </w:tcPr>
          <w:p w14:paraId="0BA7E19F" w14:textId="77777777" w:rsidR="00377155" w:rsidRPr="005E522A" w:rsidRDefault="00377155"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color w:val="000000"/>
                <w:sz w:val="52"/>
                <w:szCs w:val="52"/>
                <w:lang w:val="en-IE" w:eastAsia="en-IE"/>
              </w:rPr>
            </w:pPr>
            <w:r w:rsidRPr="005E522A">
              <w:rPr>
                <w:rFonts w:ascii="Wingdings" w:eastAsia="Times New Roman" w:hAnsi="Wingdings" w:cs="Calibri"/>
                <w:color w:val="000000"/>
                <w:sz w:val="52"/>
                <w:szCs w:val="52"/>
                <w:lang w:val="en-IE" w:eastAsia="en-IE"/>
              </w:rPr>
              <w:t>ü</w:t>
            </w:r>
          </w:p>
        </w:tc>
      </w:tr>
      <w:tr w:rsidR="00CC13B8" w:rsidRPr="00570407" w14:paraId="726902F9" w14:textId="77777777" w:rsidTr="00CC13B8">
        <w:trPr>
          <w:trHeight w:val="900"/>
        </w:trPr>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5AF2A297" w14:textId="290CCD54" w:rsidR="00377155" w:rsidRPr="006B62D7" w:rsidRDefault="00377155" w:rsidP="00E216F8">
            <w:pPr>
              <w:spacing w:after="0" w:line="276" w:lineRule="auto"/>
              <w:jc w:val="left"/>
              <w:rPr>
                <w:rFonts w:eastAsia="Times New Roman" w:cs="Arial"/>
                <w:color w:val="000000"/>
                <w:sz w:val="22"/>
                <w:lang w:val="en-IE" w:eastAsia="en-IE"/>
              </w:rPr>
            </w:pPr>
            <w:r w:rsidRPr="006B62D7">
              <w:rPr>
                <w:rFonts w:eastAsia="Times New Roman" w:cs="Arial"/>
                <w:color w:val="000000"/>
                <w:sz w:val="22"/>
                <w:lang w:val="en-IE" w:eastAsia="en-IE"/>
              </w:rPr>
              <w:t>Non-pensioner liability</w:t>
            </w:r>
          </w:p>
        </w:tc>
        <w:tc>
          <w:tcPr>
            <w:tcW w:w="1228" w:type="dxa"/>
            <w:vAlign w:val="center"/>
            <w:hideMark/>
          </w:tcPr>
          <w:p w14:paraId="295453A6" w14:textId="2305A666" w:rsidR="00377155" w:rsidRPr="005E522A" w:rsidRDefault="00377155" w:rsidP="00E216F8">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52"/>
                <w:szCs w:val="52"/>
                <w:lang w:val="en-IE" w:eastAsia="en-IE"/>
              </w:rPr>
            </w:pPr>
          </w:p>
        </w:tc>
        <w:tc>
          <w:tcPr>
            <w:tcW w:w="1229" w:type="dxa"/>
            <w:vAlign w:val="center"/>
            <w:hideMark/>
          </w:tcPr>
          <w:p w14:paraId="2319C426" w14:textId="77777777" w:rsidR="00377155" w:rsidRPr="005E522A" w:rsidRDefault="00377155" w:rsidP="00E216F8">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color w:val="000000"/>
                <w:sz w:val="52"/>
                <w:szCs w:val="52"/>
                <w:lang w:val="en-IE" w:eastAsia="en-IE"/>
              </w:rPr>
            </w:pPr>
            <w:r w:rsidRPr="005E522A">
              <w:rPr>
                <w:rFonts w:ascii="Wingdings" w:eastAsia="Times New Roman" w:hAnsi="Wingdings" w:cs="Calibri"/>
                <w:color w:val="000000"/>
                <w:sz w:val="52"/>
                <w:szCs w:val="52"/>
                <w:lang w:val="en-IE" w:eastAsia="en-IE"/>
              </w:rPr>
              <w:t>ü</w:t>
            </w:r>
          </w:p>
        </w:tc>
        <w:tc>
          <w:tcPr>
            <w:tcW w:w="1228" w:type="dxa"/>
            <w:vAlign w:val="center"/>
            <w:hideMark/>
          </w:tcPr>
          <w:p w14:paraId="2E86AC2A" w14:textId="2ACD52ED" w:rsidR="00377155" w:rsidRPr="005E522A" w:rsidRDefault="00377155" w:rsidP="00E216F8">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52"/>
                <w:szCs w:val="52"/>
                <w:lang w:val="en-IE" w:eastAsia="en-IE"/>
              </w:rPr>
            </w:pPr>
          </w:p>
        </w:tc>
        <w:tc>
          <w:tcPr>
            <w:tcW w:w="1229" w:type="dxa"/>
            <w:vAlign w:val="center"/>
            <w:hideMark/>
          </w:tcPr>
          <w:p w14:paraId="7F87903C" w14:textId="21F30699" w:rsidR="00377155" w:rsidRPr="005E522A" w:rsidRDefault="00377155" w:rsidP="00E216F8">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52"/>
                <w:szCs w:val="52"/>
                <w:lang w:val="en-IE" w:eastAsia="en-IE"/>
              </w:rPr>
            </w:pPr>
          </w:p>
        </w:tc>
        <w:tc>
          <w:tcPr>
            <w:tcW w:w="1182" w:type="dxa"/>
            <w:vAlign w:val="center"/>
            <w:hideMark/>
          </w:tcPr>
          <w:p w14:paraId="5C056D2D" w14:textId="0350CD6A" w:rsidR="00377155" w:rsidRPr="005E522A" w:rsidRDefault="00377155" w:rsidP="00E216F8">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52"/>
                <w:szCs w:val="52"/>
                <w:lang w:val="en-IE" w:eastAsia="en-IE"/>
              </w:rPr>
            </w:pPr>
          </w:p>
        </w:tc>
        <w:tc>
          <w:tcPr>
            <w:tcW w:w="1275" w:type="dxa"/>
            <w:vAlign w:val="center"/>
            <w:hideMark/>
          </w:tcPr>
          <w:p w14:paraId="573A4B56" w14:textId="4DE506F7" w:rsidR="00377155" w:rsidRPr="005E522A" w:rsidRDefault="00377155" w:rsidP="00E216F8">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52"/>
                <w:szCs w:val="52"/>
                <w:lang w:val="en-IE" w:eastAsia="en-IE"/>
              </w:rPr>
            </w:pPr>
          </w:p>
        </w:tc>
      </w:tr>
      <w:tr w:rsidR="00CC13B8" w:rsidRPr="00570407" w14:paraId="6BD1B883" w14:textId="77777777" w:rsidTr="00CC13B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41A3F767" w14:textId="77777777" w:rsidR="00377155" w:rsidRPr="006B62D7" w:rsidRDefault="00377155" w:rsidP="00E216F8">
            <w:pPr>
              <w:spacing w:after="0" w:line="276" w:lineRule="auto"/>
              <w:jc w:val="left"/>
              <w:rPr>
                <w:rFonts w:eastAsia="Times New Roman" w:cs="Arial"/>
                <w:color w:val="000000"/>
                <w:sz w:val="22"/>
                <w:lang w:val="en-IE" w:eastAsia="en-IE"/>
              </w:rPr>
            </w:pPr>
            <w:r w:rsidRPr="006B62D7">
              <w:rPr>
                <w:rFonts w:eastAsia="Times New Roman" w:cs="Arial"/>
                <w:color w:val="000000"/>
                <w:sz w:val="22"/>
                <w:lang w:val="en-IE" w:eastAsia="en-IE"/>
              </w:rPr>
              <w:t>Equity holdings</w:t>
            </w:r>
          </w:p>
        </w:tc>
        <w:tc>
          <w:tcPr>
            <w:tcW w:w="1228" w:type="dxa"/>
            <w:vAlign w:val="center"/>
            <w:hideMark/>
          </w:tcPr>
          <w:p w14:paraId="4A570874" w14:textId="77777777" w:rsidR="00377155" w:rsidRPr="005E522A" w:rsidRDefault="00377155"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color w:val="000000"/>
                <w:sz w:val="52"/>
                <w:szCs w:val="52"/>
                <w:lang w:val="en-IE" w:eastAsia="en-IE"/>
              </w:rPr>
            </w:pPr>
            <w:r w:rsidRPr="005E522A">
              <w:rPr>
                <w:rFonts w:ascii="Wingdings" w:eastAsia="Times New Roman" w:hAnsi="Wingdings" w:cs="Calibri"/>
                <w:color w:val="000000"/>
                <w:sz w:val="52"/>
                <w:szCs w:val="52"/>
                <w:lang w:val="en-IE" w:eastAsia="en-IE"/>
              </w:rPr>
              <w:t>ü</w:t>
            </w:r>
          </w:p>
        </w:tc>
        <w:tc>
          <w:tcPr>
            <w:tcW w:w="1229" w:type="dxa"/>
            <w:vAlign w:val="center"/>
            <w:hideMark/>
          </w:tcPr>
          <w:p w14:paraId="07EC2269" w14:textId="6649190F" w:rsidR="00377155" w:rsidRPr="005E522A" w:rsidRDefault="00377155"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52"/>
                <w:szCs w:val="52"/>
                <w:lang w:val="en-IE" w:eastAsia="en-IE"/>
              </w:rPr>
            </w:pPr>
          </w:p>
        </w:tc>
        <w:tc>
          <w:tcPr>
            <w:tcW w:w="1228" w:type="dxa"/>
            <w:vAlign w:val="center"/>
            <w:hideMark/>
          </w:tcPr>
          <w:p w14:paraId="08F0C893" w14:textId="1D533170" w:rsidR="00377155" w:rsidRPr="005E522A" w:rsidRDefault="00377155"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52"/>
                <w:szCs w:val="52"/>
                <w:lang w:val="en-IE" w:eastAsia="en-IE"/>
              </w:rPr>
            </w:pPr>
          </w:p>
        </w:tc>
        <w:tc>
          <w:tcPr>
            <w:tcW w:w="1229" w:type="dxa"/>
            <w:vAlign w:val="center"/>
            <w:hideMark/>
          </w:tcPr>
          <w:p w14:paraId="184B6C3F" w14:textId="1B9C5920" w:rsidR="00377155" w:rsidRPr="005E522A" w:rsidRDefault="00377155"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52"/>
                <w:szCs w:val="52"/>
                <w:lang w:val="en-IE" w:eastAsia="en-IE"/>
              </w:rPr>
            </w:pPr>
          </w:p>
        </w:tc>
        <w:tc>
          <w:tcPr>
            <w:tcW w:w="1182" w:type="dxa"/>
            <w:vAlign w:val="center"/>
            <w:hideMark/>
          </w:tcPr>
          <w:p w14:paraId="144600DF" w14:textId="5813E662" w:rsidR="00377155" w:rsidRPr="005E522A" w:rsidRDefault="00377155"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52"/>
                <w:szCs w:val="52"/>
                <w:lang w:val="en-IE" w:eastAsia="en-IE"/>
              </w:rPr>
            </w:pPr>
          </w:p>
        </w:tc>
        <w:tc>
          <w:tcPr>
            <w:tcW w:w="1275" w:type="dxa"/>
            <w:vAlign w:val="center"/>
            <w:hideMark/>
          </w:tcPr>
          <w:p w14:paraId="5C9C1B57" w14:textId="0E7A1B91" w:rsidR="00377155" w:rsidRPr="005E522A" w:rsidRDefault="00377155"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52"/>
                <w:szCs w:val="52"/>
                <w:lang w:val="en-IE" w:eastAsia="en-IE"/>
              </w:rPr>
            </w:pPr>
          </w:p>
        </w:tc>
      </w:tr>
      <w:tr w:rsidR="00CC13B8" w:rsidRPr="00570407" w14:paraId="5B7785D8" w14:textId="77777777" w:rsidTr="00CC13B8">
        <w:trPr>
          <w:trHeight w:val="600"/>
        </w:trPr>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67A0669C" w14:textId="77777777" w:rsidR="00377155" w:rsidRPr="006B62D7" w:rsidRDefault="00377155" w:rsidP="00E216F8">
            <w:pPr>
              <w:spacing w:after="0" w:line="276" w:lineRule="auto"/>
              <w:jc w:val="left"/>
              <w:rPr>
                <w:rFonts w:eastAsia="Times New Roman" w:cs="Arial"/>
                <w:color w:val="000000"/>
                <w:sz w:val="22"/>
                <w:lang w:val="en-IE" w:eastAsia="en-IE"/>
              </w:rPr>
            </w:pPr>
            <w:r w:rsidRPr="006B62D7">
              <w:rPr>
                <w:rFonts w:eastAsia="Times New Roman" w:cs="Arial"/>
                <w:color w:val="000000"/>
                <w:sz w:val="22"/>
                <w:lang w:val="en-IE" w:eastAsia="en-IE"/>
              </w:rPr>
              <w:t>Property holdings</w:t>
            </w:r>
          </w:p>
        </w:tc>
        <w:tc>
          <w:tcPr>
            <w:tcW w:w="1228" w:type="dxa"/>
            <w:vAlign w:val="center"/>
            <w:hideMark/>
          </w:tcPr>
          <w:p w14:paraId="0F8D539B" w14:textId="7D80349B" w:rsidR="00377155" w:rsidRPr="005E522A" w:rsidRDefault="00377155" w:rsidP="00E216F8">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52"/>
                <w:szCs w:val="52"/>
                <w:lang w:val="en-IE" w:eastAsia="en-IE"/>
              </w:rPr>
            </w:pPr>
          </w:p>
        </w:tc>
        <w:tc>
          <w:tcPr>
            <w:tcW w:w="1229" w:type="dxa"/>
            <w:vAlign w:val="center"/>
            <w:hideMark/>
          </w:tcPr>
          <w:p w14:paraId="3BCD081F" w14:textId="3A6F2195" w:rsidR="00377155" w:rsidRPr="005E522A" w:rsidRDefault="00377155" w:rsidP="00E216F8">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52"/>
                <w:szCs w:val="52"/>
                <w:lang w:val="en-IE" w:eastAsia="en-IE"/>
              </w:rPr>
            </w:pPr>
          </w:p>
        </w:tc>
        <w:tc>
          <w:tcPr>
            <w:tcW w:w="1228" w:type="dxa"/>
            <w:vAlign w:val="center"/>
            <w:hideMark/>
          </w:tcPr>
          <w:p w14:paraId="43BD6A8C" w14:textId="546833F5" w:rsidR="00377155" w:rsidRPr="005E522A" w:rsidRDefault="00377155" w:rsidP="00E216F8">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52"/>
                <w:szCs w:val="52"/>
                <w:lang w:val="en-IE" w:eastAsia="en-IE"/>
              </w:rPr>
            </w:pPr>
          </w:p>
        </w:tc>
        <w:tc>
          <w:tcPr>
            <w:tcW w:w="1229" w:type="dxa"/>
            <w:vAlign w:val="center"/>
            <w:hideMark/>
          </w:tcPr>
          <w:p w14:paraId="54AD5C2B" w14:textId="77777777" w:rsidR="00377155" w:rsidRPr="005E522A" w:rsidRDefault="00377155" w:rsidP="00E216F8">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color w:val="000000"/>
                <w:sz w:val="52"/>
                <w:szCs w:val="52"/>
                <w:lang w:val="en-IE" w:eastAsia="en-IE"/>
              </w:rPr>
            </w:pPr>
            <w:r w:rsidRPr="005E522A">
              <w:rPr>
                <w:rFonts w:ascii="Wingdings" w:eastAsia="Times New Roman" w:hAnsi="Wingdings" w:cs="Calibri"/>
                <w:color w:val="000000"/>
                <w:sz w:val="52"/>
                <w:szCs w:val="52"/>
                <w:lang w:val="en-IE" w:eastAsia="en-IE"/>
              </w:rPr>
              <w:t>ü</w:t>
            </w:r>
          </w:p>
        </w:tc>
        <w:tc>
          <w:tcPr>
            <w:tcW w:w="1182" w:type="dxa"/>
            <w:vAlign w:val="center"/>
            <w:hideMark/>
          </w:tcPr>
          <w:p w14:paraId="6B90F86F" w14:textId="3C9E2E3F" w:rsidR="00377155" w:rsidRPr="005E522A" w:rsidRDefault="00377155" w:rsidP="00E216F8">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52"/>
                <w:szCs w:val="52"/>
                <w:lang w:val="en-IE" w:eastAsia="en-IE"/>
              </w:rPr>
            </w:pPr>
          </w:p>
        </w:tc>
        <w:tc>
          <w:tcPr>
            <w:tcW w:w="1275" w:type="dxa"/>
            <w:vAlign w:val="center"/>
            <w:hideMark/>
          </w:tcPr>
          <w:p w14:paraId="3397A3E6" w14:textId="1B61047A" w:rsidR="00377155" w:rsidRPr="005E522A" w:rsidRDefault="00377155" w:rsidP="00E216F8">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52"/>
                <w:szCs w:val="52"/>
                <w:lang w:val="en-IE" w:eastAsia="en-IE"/>
              </w:rPr>
            </w:pPr>
          </w:p>
        </w:tc>
      </w:tr>
      <w:tr w:rsidR="00CC13B8" w:rsidRPr="00570407" w14:paraId="4E652492" w14:textId="77777777" w:rsidTr="00CC13B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5DFF88EE" w14:textId="57A3C4AA" w:rsidR="00377155" w:rsidRPr="006B62D7" w:rsidRDefault="00377155" w:rsidP="00E216F8">
            <w:pPr>
              <w:spacing w:after="0" w:line="276" w:lineRule="auto"/>
              <w:jc w:val="left"/>
              <w:rPr>
                <w:rFonts w:eastAsia="Times New Roman" w:cs="Arial"/>
                <w:color w:val="000000"/>
                <w:sz w:val="22"/>
                <w:lang w:val="en-IE" w:eastAsia="en-IE"/>
              </w:rPr>
            </w:pPr>
            <w:r w:rsidRPr="006B62D7">
              <w:rPr>
                <w:rFonts w:eastAsia="Times New Roman" w:cs="Arial"/>
                <w:color w:val="000000"/>
                <w:sz w:val="22"/>
                <w:lang w:val="en-IE" w:eastAsia="en-IE"/>
              </w:rPr>
              <w:t>Non-</w:t>
            </w:r>
            <w:r w:rsidR="00BA7098">
              <w:rPr>
                <w:rFonts w:eastAsia="Times New Roman" w:cs="Arial"/>
                <w:color w:val="000000"/>
                <w:sz w:val="22"/>
                <w:lang w:val="en-IE" w:eastAsia="en-IE"/>
              </w:rPr>
              <w:t>E</w:t>
            </w:r>
            <w:r w:rsidRPr="006B62D7">
              <w:rPr>
                <w:rFonts w:eastAsia="Times New Roman" w:cs="Arial"/>
                <w:color w:val="000000"/>
                <w:sz w:val="22"/>
                <w:lang w:val="en-IE" w:eastAsia="en-IE"/>
              </w:rPr>
              <w:t xml:space="preserve">urozone property </w:t>
            </w:r>
          </w:p>
        </w:tc>
        <w:tc>
          <w:tcPr>
            <w:tcW w:w="1228" w:type="dxa"/>
            <w:vAlign w:val="center"/>
          </w:tcPr>
          <w:p w14:paraId="2F34F345" w14:textId="77777777" w:rsidR="00377155" w:rsidRPr="005E522A" w:rsidRDefault="00377155"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52"/>
                <w:szCs w:val="52"/>
                <w:lang w:val="en-IE" w:eastAsia="en-IE"/>
              </w:rPr>
            </w:pPr>
          </w:p>
        </w:tc>
        <w:tc>
          <w:tcPr>
            <w:tcW w:w="1229" w:type="dxa"/>
            <w:vAlign w:val="center"/>
          </w:tcPr>
          <w:p w14:paraId="1D656B9F" w14:textId="77777777" w:rsidR="00377155" w:rsidRPr="005E522A" w:rsidRDefault="00377155"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52"/>
                <w:szCs w:val="52"/>
                <w:lang w:val="en-IE" w:eastAsia="en-IE"/>
              </w:rPr>
            </w:pPr>
          </w:p>
        </w:tc>
        <w:tc>
          <w:tcPr>
            <w:tcW w:w="1228" w:type="dxa"/>
            <w:vAlign w:val="center"/>
          </w:tcPr>
          <w:p w14:paraId="56DE6629" w14:textId="77777777" w:rsidR="00377155" w:rsidRPr="005E522A" w:rsidRDefault="00377155"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52"/>
                <w:szCs w:val="52"/>
                <w:lang w:val="en-IE" w:eastAsia="en-IE"/>
              </w:rPr>
            </w:pPr>
          </w:p>
        </w:tc>
        <w:tc>
          <w:tcPr>
            <w:tcW w:w="1229" w:type="dxa"/>
            <w:vAlign w:val="center"/>
          </w:tcPr>
          <w:p w14:paraId="2D0223F6" w14:textId="53BCEB29" w:rsidR="00377155" w:rsidRPr="005E522A" w:rsidRDefault="00377155"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color w:val="000000"/>
                <w:sz w:val="52"/>
                <w:szCs w:val="52"/>
                <w:lang w:val="en-IE" w:eastAsia="en-IE"/>
              </w:rPr>
            </w:pPr>
            <w:r w:rsidRPr="005E522A">
              <w:rPr>
                <w:rFonts w:ascii="Wingdings" w:eastAsia="Times New Roman" w:hAnsi="Wingdings" w:cs="Calibri"/>
                <w:color w:val="000000"/>
                <w:sz w:val="52"/>
                <w:szCs w:val="52"/>
                <w:lang w:val="en-IE" w:eastAsia="en-IE"/>
              </w:rPr>
              <w:t>ü</w:t>
            </w:r>
          </w:p>
        </w:tc>
        <w:tc>
          <w:tcPr>
            <w:tcW w:w="1182" w:type="dxa"/>
            <w:vAlign w:val="center"/>
          </w:tcPr>
          <w:p w14:paraId="655F9296" w14:textId="1196781D" w:rsidR="00377155" w:rsidRPr="005E522A" w:rsidRDefault="00377155"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52"/>
                <w:szCs w:val="52"/>
                <w:lang w:val="en-IE" w:eastAsia="en-IE"/>
              </w:rPr>
            </w:pPr>
            <w:r w:rsidRPr="005E522A">
              <w:rPr>
                <w:rFonts w:ascii="Wingdings" w:eastAsia="Times New Roman" w:hAnsi="Wingdings" w:cs="Calibri"/>
                <w:color w:val="000000"/>
                <w:sz w:val="52"/>
                <w:szCs w:val="52"/>
                <w:lang w:val="en-IE" w:eastAsia="en-IE"/>
              </w:rPr>
              <w:t>ü</w:t>
            </w:r>
          </w:p>
        </w:tc>
        <w:tc>
          <w:tcPr>
            <w:tcW w:w="1275" w:type="dxa"/>
            <w:vAlign w:val="center"/>
          </w:tcPr>
          <w:p w14:paraId="1E877A22" w14:textId="77777777" w:rsidR="00377155" w:rsidRPr="005E522A" w:rsidRDefault="00377155"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52"/>
                <w:szCs w:val="52"/>
                <w:lang w:val="en-IE" w:eastAsia="en-IE"/>
              </w:rPr>
            </w:pPr>
          </w:p>
        </w:tc>
      </w:tr>
      <w:tr w:rsidR="00CC13B8" w:rsidRPr="00570407" w14:paraId="432A43A4" w14:textId="77777777" w:rsidTr="00CC13B8">
        <w:trPr>
          <w:trHeight w:val="900"/>
        </w:trPr>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1356A0C3" w14:textId="77777777" w:rsidR="00377155" w:rsidRPr="006B62D7" w:rsidRDefault="00377155" w:rsidP="00E216F8">
            <w:pPr>
              <w:spacing w:after="0" w:line="276" w:lineRule="auto"/>
              <w:jc w:val="left"/>
              <w:rPr>
                <w:rFonts w:eastAsia="Times New Roman" w:cs="Arial"/>
                <w:color w:val="000000"/>
                <w:sz w:val="22"/>
                <w:lang w:val="en-IE" w:eastAsia="en-IE"/>
              </w:rPr>
            </w:pPr>
            <w:r w:rsidRPr="006B62D7">
              <w:rPr>
                <w:rFonts w:eastAsia="Times New Roman" w:cs="Arial"/>
                <w:color w:val="000000"/>
                <w:sz w:val="22"/>
                <w:lang w:val="en-IE" w:eastAsia="en-IE"/>
              </w:rPr>
              <w:t>Euro sovereign bond holding</w:t>
            </w:r>
          </w:p>
        </w:tc>
        <w:tc>
          <w:tcPr>
            <w:tcW w:w="1228" w:type="dxa"/>
            <w:vAlign w:val="center"/>
            <w:hideMark/>
          </w:tcPr>
          <w:p w14:paraId="7D6224E3" w14:textId="73F56AC6" w:rsidR="00377155" w:rsidRPr="005E522A" w:rsidRDefault="00377155" w:rsidP="00E216F8">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52"/>
                <w:szCs w:val="52"/>
                <w:lang w:val="en-IE" w:eastAsia="en-IE"/>
              </w:rPr>
            </w:pPr>
          </w:p>
        </w:tc>
        <w:tc>
          <w:tcPr>
            <w:tcW w:w="1229" w:type="dxa"/>
            <w:vAlign w:val="center"/>
            <w:hideMark/>
          </w:tcPr>
          <w:p w14:paraId="392E26AE" w14:textId="77777777" w:rsidR="00377155" w:rsidRPr="005E522A" w:rsidRDefault="00377155" w:rsidP="00E216F8">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color w:val="000000"/>
                <w:sz w:val="52"/>
                <w:szCs w:val="52"/>
                <w:lang w:val="en-IE" w:eastAsia="en-IE"/>
              </w:rPr>
            </w:pPr>
            <w:r w:rsidRPr="005E522A">
              <w:rPr>
                <w:rFonts w:ascii="Wingdings" w:eastAsia="Times New Roman" w:hAnsi="Wingdings" w:cs="Calibri"/>
                <w:color w:val="000000"/>
                <w:sz w:val="52"/>
                <w:szCs w:val="52"/>
                <w:lang w:val="en-IE" w:eastAsia="en-IE"/>
              </w:rPr>
              <w:t>ü</w:t>
            </w:r>
          </w:p>
        </w:tc>
        <w:tc>
          <w:tcPr>
            <w:tcW w:w="1228" w:type="dxa"/>
            <w:vAlign w:val="center"/>
            <w:hideMark/>
          </w:tcPr>
          <w:p w14:paraId="3A8EB1C2" w14:textId="290E1F73" w:rsidR="00377155" w:rsidRPr="005E522A" w:rsidRDefault="00377155" w:rsidP="00E216F8">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52"/>
                <w:szCs w:val="52"/>
                <w:lang w:val="en-IE" w:eastAsia="en-IE"/>
              </w:rPr>
            </w:pPr>
          </w:p>
        </w:tc>
        <w:tc>
          <w:tcPr>
            <w:tcW w:w="1229" w:type="dxa"/>
            <w:vAlign w:val="center"/>
            <w:hideMark/>
          </w:tcPr>
          <w:p w14:paraId="0F46436F" w14:textId="1DD93973" w:rsidR="00377155" w:rsidRPr="005E522A" w:rsidRDefault="00377155" w:rsidP="00E216F8">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52"/>
                <w:szCs w:val="52"/>
                <w:lang w:val="en-IE" w:eastAsia="en-IE"/>
              </w:rPr>
            </w:pPr>
          </w:p>
        </w:tc>
        <w:tc>
          <w:tcPr>
            <w:tcW w:w="1182" w:type="dxa"/>
            <w:vAlign w:val="center"/>
            <w:hideMark/>
          </w:tcPr>
          <w:p w14:paraId="2BD931B6" w14:textId="317DACDF" w:rsidR="00377155" w:rsidRPr="005E522A" w:rsidRDefault="00377155" w:rsidP="00E216F8">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52"/>
                <w:szCs w:val="52"/>
                <w:lang w:val="en-IE" w:eastAsia="en-IE"/>
              </w:rPr>
            </w:pPr>
          </w:p>
        </w:tc>
        <w:tc>
          <w:tcPr>
            <w:tcW w:w="1275" w:type="dxa"/>
            <w:vAlign w:val="center"/>
            <w:hideMark/>
          </w:tcPr>
          <w:p w14:paraId="4654ED8E" w14:textId="3D5DB46A" w:rsidR="00377155" w:rsidRPr="005E522A" w:rsidRDefault="00377155" w:rsidP="00E216F8">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52"/>
                <w:szCs w:val="52"/>
                <w:lang w:val="en-IE" w:eastAsia="en-IE"/>
              </w:rPr>
            </w:pPr>
          </w:p>
        </w:tc>
      </w:tr>
      <w:tr w:rsidR="00CC13B8" w:rsidRPr="00570407" w14:paraId="2F7EECA7" w14:textId="77777777" w:rsidTr="00CC13B8">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4771C95D" w14:textId="40BCA0C6" w:rsidR="00377155" w:rsidRPr="006B62D7" w:rsidRDefault="00377155" w:rsidP="00E216F8">
            <w:pPr>
              <w:spacing w:after="0" w:line="276" w:lineRule="auto"/>
              <w:jc w:val="left"/>
              <w:rPr>
                <w:rFonts w:eastAsia="Times New Roman" w:cs="Arial"/>
                <w:color w:val="000000"/>
                <w:sz w:val="22"/>
                <w:lang w:val="en-IE" w:eastAsia="en-IE"/>
              </w:rPr>
            </w:pPr>
            <w:r w:rsidRPr="006B62D7">
              <w:rPr>
                <w:rFonts w:eastAsia="Times New Roman" w:cs="Arial"/>
                <w:color w:val="000000"/>
                <w:sz w:val="22"/>
                <w:lang w:val="en-IE" w:eastAsia="en-IE"/>
              </w:rPr>
              <w:t>Non-</w:t>
            </w:r>
            <w:r w:rsidR="00BA7098">
              <w:rPr>
                <w:rFonts w:eastAsia="Times New Roman" w:cs="Arial"/>
                <w:color w:val="000000"/>
                <w:sz w:val="22"/>
                <w:lang w:val="en-IE" w:eastAsia="en-IE"/>
              </w:rPr>
              <w:t>e</w:t>
            </w:r>
            <w:r w:rsidRPr="006B62D7">
              <w:rPr>
                <w:rFonts w:eastAsia="Times New Roman" w:cs="Arial"/>
                <w:color w:val="000000"/>
                <w:sz w:val="22"/>
                <w:lang w:val="en-IE" w:eastAsia="en-IE"/>
              </w:rPr>
              <w:t>uro sovereign bond holding</w:t>
            </w:r>
          </w:p>
        </w:tc>
        <w:tc>
          <w:tcPr>
            <w:tcW w:w="1228" w:type="dxa"/>
            <w:vAlign w:val="center"/>
            <w:hideMark/>
          </w:tcPr>
          <w:p w14:paraId="7346C601" w14:textId="4EDF1256" w:rsidR="00377155" w:rsidRPr="005E522A" w:rsidRDefault="00377155"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52"/>
                <w:szCs w:val="52"/>
                <w:lang w:val="en-IE" w:eastAsia="en-IE"/>
              </w:rPr>
            </w:pPr>
          </w:p>
        </w:tc>
        <w:tc>
          <w:tcPr>
            <w:tcW w:w="1229" w:type="dxa"/>
            <w:vAlign w:val="center"/>
            <w:hideMark/>
          </w:tcPr>
          <w:p w14:paraId="7D2710AA" w14:textId="77777777" w:rsidR="00377155" w:rsidRPr="005E522A" w:rsidRDefault="00377155"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color w:val="000000"/>
                <w:sz w:val="52"/>
                <w:szCs w:val="52"/>
                <w:lang w:val="en-IE" w:eastAsia="en-IE"/>
              </w:rPr>
            </w:pPr>
            <w:r w:rsidRPr="005E522A">
              <w:rPr>
                <w:rFonts w:ascii="Wingdings" w:eastAsia="Times New Roman" w:hAnsi="Wingdings" w:cs="Calibri"/>
                <w:color w:val="000000"/>
                <w:sz w:val="52"/>
                <w:szCs w:val="52"/>
                <w:lang w:val="en-IE" w:eastAsia="en-IE"/>
              </w:rPr>
              <w:t>ü</w:t>
            </w:r>
          </w:p>
        </w:tc>
        <w:tc>
          <w:tcPr>
            <w:tcW w:w="1228" w:type="dxa"/>
            <w:vAlign w:val="center"/>
            <w:hideMark/>
          </w:tcPr>
          <w:p w14:paraId="5EB75725" w14:textId="77777777" w:rsidR="00377155" w:rsidRPr="005E522A" w:rsidRDefault="00377155"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color w:val="000000"/>
                <w:sz w:val="52"/>
                <w:szCs w:val="52"/>
                <w:lang w:val="en-IE" w:eastAsia="en-IE"/>
              </w:rPr>
            </w:pPr>
            <w:r w:rsidRPr="005E522A">
              <w:rPr>
                <w:rFonts w:ascii="Wingdings" w:eastAsia="Times New Roman" w:hAnsi="Wingdings" w:cs="Calibri"/>
                <w:color w:val="000000"/>
                <w:sz w:val="52"/>
                <w:szCs w:val="52"/>
                <w:lang w:val="en-IE" w:eastAsia="en-IE"/>
              </w:rPr>
              <w:t>ü</w:t>
            </w:r>
          </w:p>
        </w:tc>
        <w:tc>
          <w:tcPr>
            <w:tcW w:w="1229" w:type="dxa"/>
            <w:vAlign w:val="center"/>
            <w:hideMark/>
          </w:tcPr>
          <w:p w14:paraId="3A971D5A" w14:textId="5ECF4030" w:rsidR="00377155" w:rsidRPr="005E522A" w:rsidRDefault="00377155"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52"/>
                <w:szCs w:val="52"/>
                <w:lang w:val="en-IE" w:eastAsia="en-IE"/>
              </w:rPr>
            </w:pPr>
          </w:p>
        </w:tc>
        <w:tc>
          <w:tcPr>
            <w:tcW w:w="1182" w:type="dxa"/>
            <w:vAlign w:val="center"/>
            <w:hideMark/>
          </w:tcPr>
          <w:p w14:paraId="12096AFC" w14:textId="77777777" w:rsidR="00377155" w:rsidRPr="005E522A" w:rsidRDefault="00377155"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color w:val="000000"/>
                <w:sz w:val="52"/>
                <w:szCs w:val="52"/>
                <w:lang w:val="en-IE" w:eastAsia="en-IE"/>
              </w:rPr>
            </w:pPr>
            <w:r w:rsidRPr="005E522A">
              <w:rPr>
                <w:rFonts w:ascii="Wingdings" w:eastAsia="Times New Roman" w:hAnsi="Wingdings" w:cs="Calibri"/>
                <w:color w:val="000000"/>
                <w:sz w:val="52"/>
                <w:szCs w:val="52"/>
                <w:lang w:val="en-IE" w:eastAsia="en-IE"/>
              </w:rPr>
              <w:t>ü</w:t>
            </w:r>
          </w:p>
        </w:tc>
        <w:tc>
          <w:tcPr>
            <w:tcW w:w="1275" w:type="dxa"/>
            <w:vAlign w:val="center"/>
            <w:hideMark/>
          </w:tcPr>
          <w:p w14:paraId="0E5A0BAF" w14:textId="4FDE4E33" w:rsidR="00377155" w:rsidRPr="005E522A" w:rsidRDefault="00377155" w:rsidP="00E216F8">
            <w:pPr>
              <w:spacing w:after="0" w:line="276"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52"/>
                <w:szCs w:val="52"/>
                <w:lang w:val="en-IE" w:eastAsia="en-IE"/>
              </w:rPr>
            </w:pPr>
          </w:p>
        </w:tc>
      </w:tr>
      <w:bookmarkEnd w:id="8"/>
    </w:tbl>
    <w:p w14:paraId="1540F762" w14:textId="77777777" w:rsidR="007C04DF" w:rsidRDefault="007C04DF" w:rsidP="00E216F8">
      <w:pPr>
        <w:spacing w:after="0" w:line="276" w:lineRule="auto"/>
        <w:jc w:val="left"/>
        <w:rPr>
          <w:sz w:val="20"/>
          <w:szCs w:val="20"/>
        </w:rPr>
      </w:pPr>
    </w:p>
    <w:p w14:paraId="537CCE8B" w14:textId="3EF9EE8A" w:rsidR="00AF493A" w:rsidRDefault="00AF493A" w:rsidP="00E216F8">
      <w:pPr>
        <w:spacing w:after="0" w:line="276" w:lineRule="auto"/>
        <w:jc w:val="left"/>
        <w:rPr>
          <w:sz w:val="20"/>
          <w:szCs w:val="20"/>
        </w:rPr>
      </w:pPr>
      <w:r w:rsidRPr="00844E1B">
        <w:rPr>
          <w:sz w:val="20"/>
          <w:szCs w:val="20"/>
        </w:rPr>
        <w:t>(1</w:t>
      </w:r>
      <w:r>
        <w:rPr>
          <w:sz w:val="20"/>
          <w:szCs w:val="20"/>
        </w:rPr>
        <w:t xml:space="preserve">) </w:t>
      </w:r>
      <w:r w:rsidRPr="00844E1B">
        <w:rPr>
          <w:sz w:val="20"/>
          <w:szCs w:val="20"/>
        </w:rPr>
        <w:t xml:space="preserve">In calculating Pensions Authority risk measures, holdings of cash on deposit with credit institutions are </w:t>
      </w:r>
      <w:r>
        <w:rPr>
          <w:sz w:val="20"/>
          <w:szCs w:val="20"/>
        </w:rPr>
        <w:t xml:space="preserve">assumed to be </w:t>
      </w:r>
      <w:r w:rsidRPr="00844E1B">
        <w:rPr>
          <w:sz w:val="20"/>
          <w:szCs w:val="20"/>
        </w:rPr>
        <w:t>risk free.</w:t>
      </w:r>
    </w:p>
    <w:p w14:paraId="760C841B" w14:textId="270FADB8" w:rsidR="00AF493A" w:rsidRPr="001B791B" w:rsidRDefault="00AF493A" w:rsidP="00E216F8">
      <w:pPr>
        <w:spacing w:after="0" w:line="276" w:lineRule="auto"/>
        <w:jc w:val="left"/>
        <w:rPr>
          <w:sz w:val="20"/>
          <w:szCs w:val="20"/>
        </w:rPr>
      </w:pPr>
      <w:r>
        <w:rPr>
          <w:sz w:val="20"/>
          <w:szCs w:val="20"/>
        </w:rPr>
        <w:t xml:space="preserve">(2) </w:t>
      </w:r>
      <w:r w:rsidRPr="00844E1B">
        <w:rPr>
          <w:sz w:val="20"/>
          <w:szCs w:val="20"/>
        </w:rPr>
        <w:t xml:space="preserve">The </w:t>
      </w:r>
      <w:r w:rsidR="00BA7098">
        <w:rPr>
          <w:sz w:val="20"/>
          <w:szCs w:val="20"/>
        </w:rPr>
        <w:t>f</w:t>
      </w:r>
      <w:r w:rsidRPr="00844E1B">
        <w:rPr>
          <w:sz w:val="20"/>
          <w:szCs w:val="20"/>
        </w:rPr>
        <w:t xml:space="preserve">unding </w:t>
      </w:r>
      <w:r w:rsidR="00BA7098">
        <w:rPr>
          <w:sz w:val="20"/>
          <w:szCs w:val="20"/>
        </w:rPr>
        <w:t>s</w:t>
      </w:r>
      <w:r w:rsidRPr="00844E1B">
        <w:rPr>
          <w:sz w:val="20"/>
          <w:szCs w:val="20"/>
        </w:rPr>
        <w:t xml:space="preserve">tandard </w:t>
      </w:r>
      <w:r w:rsidR="00BA7098">
        <w:rPr>
          <w:sz w:val="20"/>
          <w:szCs w:val="20"/>
        </w:rPr>
        <w:t>r</w:t>
      </w:r>
      <w:r w:rsidRPr="00844E1B">
        <w:rPr>
          <w:sz w:val="20"/>
          <w:szCs w:val="20"/>
        </w:rPr>
        <w:t>eserve and windup expenses are taken as not being sources of risk and do not need to be recalculated in calculating the risk measure.</w:t>
      </w:r>
    </w:p>
    <w:p w14:paraId="5935094D" w14:textId="77777777" w:rsidR="00AF493A" w:rsidRDefault="00AF493A" w:rsidP="00E216F8">
      <w:pPr>
        <w:spacing w:after="0" w:line="276" w:lineRule="auto"/>
        <w:jc w:val="left"/>
        <w:rPr>
          <w:sz w:val="20"/>
          <w:szCs w:val="20"/>
        </w:rPr>
      </w:pPr>
      <w:r>
        <w:rPr>
          <w:sz w:val="20"/>
          <w:szCs w:val="20"/>
        </w:rPr>
        <w:t xml:space="preserve">(3) </w:t>
      </w:r>
      <w:r w:rsidRPr="00844E1B">
        <w:rPr>
          <w:sz w:val="20"/>
          <w:szCs w:val="20"/>
        </w:rPr>
        <w:t>Non-pensioner liabilities are assumed to carry no longevity stress.</w:t>
      </w:r>
    </w:p>
    <w:p w14:paraId="62B2B4CC" w14:textId="2C4B387D" w:rsidR="00AF493A" w:rsidRDefault="00AF493A" w:rsidP="00E216F8">
      <w:pPr>
        <w:spacing w:after="0" w:line="276" w:lineRule="auto"/>
        <w:jc w:val="left"/>
        <w:rPr>
          <w:sz w:val="20"/>
          <w:szCs w:val="20"/>
        </w:rPr>
      </w:pPr>
      <w:r>
        <w:rPr>
          <w:sz w:val="20"/>
          <w:szCs w:val="20"/>
        </w:rPr>
        <w:t xml:space="preserve">(4) </w:t>
      </w:r>
      <w:r w:rsidRPr="00844E1B">
        <w:rPr>
          <w:sz w:val="20"/>
          <w:szCs w:val="20"/>
        </w:rPr>
        <w:t>Government bonds are assumed to carry no spread/credit risk.</w:t>
      </w:r>
    </w:p>
    <w:p w14:paraId="29E3B03D" w14:textId="2F6B8499" w:rsidR="00AF493A" w:rsidRDefault="00AF493A" w:rsidP="00E216F8">
      <w:pPr>
        <w:spacing w:after="0" w:line="276" w:lineRule="auto"/>
        <w:jc w:val="left"/>
        <w:rPr>
          <w:sz w:val="20"/>
          <w:szCs w:val="20"/>
        </w:rPr>
      </w:pPr>
      <w:r>
        <w:rPr>
          <w:sz w:val="20"/>
          <w:szCs w:val="20"/>
        </w:rPr>
        <w:t xml:space="preserve">(5) </w:t>
      </w:r>
      <w:r w:rsidR="00151D79" w:rsidRPr="00AF493A">
        <w:rPr>
          <w:sz w:val="20"/>
          <w:szCs w:val="20"/>
        </w:rPr>
        <w:t>Shocks can be negative due to risk mitigation or hedging positions held by the scheme</w:t>
      </w:r>
      <w:r w:rsidR="004B7BEB">
        <w:rPr>
          <w:sz w:val="20"/>
          <w:szCs w:val="20"/>
        </w:rPr>
        <w:t>.</w:t>
      </w:r>
    </w:p>
    <w:p w14:paraId="2508F518" w14:textId="19FB4914" w:rsidR="00151D79" w:rsidRDefault="00AF493A" w:rsidP="00E216F8">
      <w:pPr>
        <w:spacing w:after="0" w:line="276" w:lineRule="auto"/>
        <w:jc w:val="left"/>
        <w:rPr>
          <w:sz w:val="20"/>
          <w:szCs w:val="20"/>
        </w:rPr>
      </w:pPr>
      <w:r>
        <w:rPr>
          <w:sz w:val="20"/>
          <w:szCs w:val="20"/>
        </w:rPr>
        <w:t>(6) A</w:t>
      </w:r>
      <w:r w:rsidRPr="00AF493A">
        <w:rPr>
          <w:sz w:val="20"/>
          <w:szCs w:val="20"/>
        </w:rPr>
        <w:t xml:space="preserve"> variation on the interest rate module is included</w:t>
      </w:r>
      <w:r>
        <w:rPr>
          <w:sz w:val="20"/>
          <w:szCs w:val="20"/>
        </w:rPr>
        <w:t xml:space="preserve"> in the </w:t>
      </w:r>
      <w:r w:rsidR="004F01D9">
        <w:rPr>
          <w:sz w:val="20"/>
          <w:szCs w:val="20"/>
        </w:rPr>
        <w:t xml:space="preserve">spreadsheet </w:t>
      </w:r>
      <w:r w:rsidR="004F01D9" w:rsidRPr="00AF493A">
        <w:rPr>
          <w:sz w:val="20"/>
          <w:szCs w:val="20"/>
        </w:rPr>
        <w:t>to</w:t>
      </w:r>
      <w:r w:rsidRPr="00AF493A">
        <w:rPr>
          <w:sz w:val="20"/>
          <w:szCs w:val="20"/>
        </w:rPr>
        <w:t xml:space="preserve"> account for the effect of changes in market value adjustments (MVAs) </w:t>
      </w:r>
      <w:r>
        <w:rPr>
          <w:sz w:val="20"/>
          <w:szCs w:val="20"/>
        </w:rPr>
        <w:t xml:space="preserve">and the impact on </w:t>
      </w:r>
      <w:r w:rsidRPr="00AF493A">
        <w:rPr>
          <w:sz w:val="20"/>
          <w:szCs w:val="20"/>
        </w:rPr>
        <w:t>non-pensioner liabilities.</w:t>
      </w:r>
      <w:r w:rsidR="00151D79" w:rsidRPr="00AF493A">
        <w:rPr>
          <w:sz w:val="20"/>
          <w:szCs w:val="20"/>
        </w:rPr>
        <w:t xml:space="preserve"> </w:t>
      </w:r>
    </w:p>
    <w:p w14:paraId="582F569C" w14:textId="77777777" w:rsidR="00CC13B8" w:rsidRDefault="00CC13B8" w:rsidP="00E216F8">
      <w:pPr>
        <w:spacing w:after="0" w:line="276" w:lineRule="auto"/>
        <w:jc w:val="left"/>
        <w:rPr>
          <w:sz w:val="20"/>
          <w:szCs w:val="20"/>
        </w:rPr>
      </w:pPr>
    </w:p>
    <w:p w14:paraId="30276E7A" w14:textId="71A3C4FA" w:rsidR="00570407" w:rsidRPr="00287B81" w:rsidRDefault="00287B81" w:rsidP="0005330C">
      <w:pPr>
        <w:pStyle w:val="Heading4"/>
      </w:pPr>
      <w:bookmarkStart w:id="9" w:name="_Toc87976283"/>
      <w:r w:rsidRPr="00287B81">
        <w:t>Risk module calculation example</w:t>
      </w:r>
      <w:bookmarkEnd w:id="9"/>
    </w:p>
    <w:p w14:paraId="23E83094" w14:textId="7E53C06E" w:rsidR="00AE21B1" w:rsidRDefault="0097604F" w:rsidP="00E216F8">
      <w:pPr>
        <w:spacing w:after="0" w:line="276" w:lineRule="auto"/>
        <w:jc w:val="left"/>
        <w:rPr>
          <w:szCs w:val="24"/>
        </w:rPr>
      </w:pPr>
      <w:r w:rsidRPr="005E210A">
        <w:rPr>
          <w:szCs w:val="24"/>
        </w:rPr>
        <w:t>A</w:t>
      </w:r>
      <w:r w:rsidR="00990FFA" w:rsidRPr="005E210A">
        <w:rPr>
          <w:szCs w:val="24"/>
        </w:rPr>
        <w:t>n</w:t>
      </w:r>
      <w:r w:rsidRPr="005E210A">
        <w:rPr>
          <w:szCs w:val="24"/>
        </w:rPr>
        <w:t xml:space="preserve"> example of </w:t>
      </w:r>
      <w:r w:rsidR="006A27D1">
        <w:rPr>
          <w:szCs w:val="24"/>
        </w:rPr>
        <w:t xml:space="preserve">how to apply the </w:t>
      </w:r>
      <w:r w:rsidR="00651B82">
        <w:rPr>
          <w:szCs w:val="24"/>
        </w:rPr>
        <w:t>six</w:t>
      </w:r>
      <w:r w:rsidR="00987F00">
        <w:rPr>
          <w:szCs w:val="24"/>
        </w:rPr>
        <w:t>-</w:t>
      </w:r>
      <w:r w:rsidR="00990FFA" w:rsidRPr="005E210A">
        <w:rPr>
          <w:szCs w:val="24"/>
        </w:rPr>
        <w:t xml:space="preserve">step </w:t>
      </w:r>
      <w:r w:rsidRPr="005E210A">
        <w:rPr>
          <w:szCs w:val="24"/>
        </w:rPr>
        <w:t xml:space="preserve">calculation process for a simplified </w:t>
      </w:r>
      <w:r w:rsidR="00584439">
        <w:rPr>
          <w:szCs w:val="24"/>
        </w:rPr>
        <w:t>DB</w:t>
      </w:r>
      <w:r w:rsidRPr="005E210A">
        <w:rPr>
          <w:szCs w:val="24"/>
        </w:rPr>
        <w:t xml:space="preserve"> scheme is given below:</w:t>
      </w:r>
    </w:p>
    <w:p w14:paraId="5315CE9F" w14:textId="77777777" w:rsidR="00CC13B8" w:rsidRDefault="00CC13B8" w:rsidP="00E216F8">
      <w:pPr>
        <w:spacing w:after="0" w:line="276" w:lineRule="auto"/>
        <w:jc w:val="left"/>
        <w:rPr>
          <w:szCs w:val="24"/>
        </w:rPr>
      </w:pPr>
    </w:p>
    <w:p w14:paraId="6529DCA3" w14:textId="02492D8E" w:rsidR="0066269D" w:rsidRPr="00DD2B9D" w:rsidRDefault="0066269D" w:rsidP="00E216F8">
      <w:pPr>
        <w:spacing w:after="0" w:line="276" w:lineRule="auto"/>
        <w:jc w:val="left"/>
        <w:rPr>
          <w:szCs w:val="24"/>
        </w:rPr>
      </w:pPr>
      <w:r w:rsidRPr="00DD2B9D">
        <w:rPr>
          <w:b/>
          <w:bCs/>
          <w:szCs w:val="24"/>
        </w:rPr>
        <w:t>Step 1:</w:t>
      </w:r>
      <w:r w:rsidRPr="00DD2B9D">
        <w:rPr>
          <w:szCs w:val="24"/>
        </w:rPr>
        <w:t xml:space="preserve"> Establish the scheme liabilities and assets under the funding standard</w:t>
      </w:r>
      <w:r w:rsidR="00B4356B" w:rsidRPr="00DD2B9D">
        <w:rPr>
          <w:szCs w:val="24"/>
        </w:rPr>
        <w:t>.</w:t>
      </w:r>
    </w:p>
    <w:p w14:paraId="519DBCD7" w14:textId="77777777" w:rsidR="001F1469" w:rsidRDefault="001F1469" w:rsidP="00E216F8">
      <w:pPr>
        <w:pStyle w:val="ListParagraph"/>
        <w:spacing w:after="0" w:line="276" w:lineRule="auto"/>
        <w:ind w:left="1440"/>
        <w:contextualSpacing w:val="0"/>
        <w:jc w:val="left"/>
        <w:rPr>
          <w:i/>
          <w:iCs/>
          <w:szCs w:val="24"/>
        </w:rPr>
      </w:pPr>
    </w:p>
    <w:p w14:paraId="120243FE" w14:textId="68EFC677" w:rsidR="0066269D" w:rsidRPr="0005330C" w:rsidRDefault="0066269D" w:rsidP="00E216F8">
      <w:pPr>
        <w:spacing w:after="0" w:line="276" w:lineRule="auto"/>
        <w:jc w:val="left"/>
        <w:rPr>
          <w:szCs w:val="24"/>
        </w:rPr>
      </w:pPr>
      <w:r w:rsidRPr="0005330C">
        <w:rPr>
          <w:b/>
          <w:bCs/>
          <w:szCs w:val="24"/>
        </w:rPr>
        <w:t>Example</w:t>
      </w:r>
      <w:r w:rsidRPr="0005330C">
        <w:rPr>
          <w:szCs w:val="24"/>
        </w:rPr>
        <w:t>: The liabilities and assets are established as €100m and €105m respectively.</w:t>
      </w:r>
    </w:p>
    <w:p w14:paraId="7441CF9C" w14:textId="77777777" w:rsidR="00CC13B8" w:rsidRPr="008271DA" w:rsidRDefault="00CC13B8" w:rsidP="00E216F8">
      <w:pPr>
        <w:pStyle w:val="ListParagraph"/>
        <w:spacing w:after="0" w:line="276" w:lineRule="auto"/>
        <w:ind w:left="1440"/>
        <w:contextualSpacing w:val="0"/>
        <w:jc w:val="left"/>
        <w:rPr>
          <w:i/>
          <w:iCs/>
          <w:szCs w:val="24"/>
        </w:rPr>
      </w:pPr>
    </w:p>
    <w:p w14:paraId="7BF71487" w14:textId="0A401A3C" w:rsidR="0066269D" w:rsidRPr="00DD2B9D" w:rsidRDefault="0066269D" w:rsidP="00E216F8">
      <w:pPr>
        <w:spacing w:after="0" w:line="276" w:lineRule="auto"/>
        <w:jc w:val="left"/>
        <w:rPr>
          <w:szCs w:val="24"/>
        </w:rPr>
      </w:pPr>
      <w:r w:rsidRPr="00DD2B9D">
        <w:rPr>
          <w:b/>
          <w:bCs/>
          <w:szCs w:val="24"/>
        </w:rPr>
        <w:t>Step 2:</w:t>
      </w:r>
      <w:r w:rsidRPr="00DD2B9D">
        <w:rPr>
          <w:szCs w:val="24"/>
        </w:rPr>
        <w:t xml:space="preserve"> Identify the relevant risk modules</w:t>
      </w:r>
      <w:r w:rsidR="00B4356B" w:rsidRPr="00DD2B9D">
        <w:rPr>
          <w:szCs w:val="24"/>
        </w:rPr>
        <w:t>.</w:t>
      </w:r>
      <w:r w:rsidRPr="00DD2B9D">
        <w:rPr>
          <w:szCs w:val="24"/>
        </w:rPr>
        <w:t xml:space="preserve"> </w:t>
      </w:r>
    </w:p>
    <w:p w14:paraId="337E0436" w14:textId="77777777" w:rsidR="001F1469" w:rsidRDefault="001F1469" w:rsidP="00E216F8">
      <w:pPr>
        <w:pStyle w:val="ListParagraph"/>
        <w:spacing w:after="0" w:line="276" w:lineRule="auto"/>
        <w:ind w:left="1440"/>
        <w:contextualSpacing w:val="0"/>
        <w:jc w:val="left"/>
        <w:rPr>
          <w:szCs w:val="24"/>
        </w:rPr>
      </w:pPr>
    </w:p>
    <w:p w14:paraId="29DF243F" w14:textId="1ACC9C55" w:rsidR="00CC13B8" w:rsidRPr="0005330C" w:rsidRDefault="0066269D" w:rsidP="00E216F8">
      <w:pPr>
        <w:spacing w:after="0" w:line="276" w:lineRule="auto"/>
        <w:jc w:val="left"/>
        <w:rPr>
          <w:szCs w:val="24"/>
        </w:rPr>
      </w:pPr>
      <w:r w:rsidRPr="0005330C">
        <w:rPr>
          <w:b/>
          <w:bCs/>
          <w:szCs w:val="24"/>
        </w:rPr>
        <w:t>Example</w:t>
      </w:r>
      <w:r w:rsidRPr="0005330C">
        <w:rPr>
          <w:szCs w:val="24"/>
        </w:rPr>
        <w:t xml:space="preserve">: </w:t>
      </w:r>
      <w:r w:rsidR="00B4356B" w:rsidRPr="0005330C">
        <w:rPr>
          <w:szCs w:val="24"/>
        </w:rPr>
        <w:t>I</w:t>
      </w:r>
      <w:r w:rsidRPr="0005330C">
        <w:rPr>
          <w:szCs w:val="24"/>
        </w:rPr>
        <w:t xml:space="preserve">t is determined that the material risks arise from the liabilities (mortality and interest risks) and, on the asset side, from the equity, bond and property holdings. </w:t>
      </w:r>
    </w:p>
    <w:p w14:paraId="7F6536AF" w14:textId="77777777" w:rsidR="001F1469" w:rsidRPr="00CC13B8" w:rsidRDefault="001F1469" w:rsidP="00E216F8">
      <w:pPr>
        <w:pStyle w:val="ListParagraph"/>
        <w:spacing w:after="0" w:line="276" w:lineRule="auto"/>
        <w:ind w:left="1440"/>
        <w:contextualSpacing w:val="0"/>
        <w:jc w:val="left"/>
        <w:rPr>
          <w:szCs w:val="24"/>
        </w:rPr>
      </w:pPr>
    </w:p>
    <w:p w14:paraId="1F8CCC6C" w14:textId="6C2E2034" w:rsidR="00CC13B8" w:rsidRPr="00DD2B9D" w:rsidRDefault="0066269D" w:rsidP="00E216F8">
      <w:pPr>
        <w:spacing w:after="0" w:line="276" w:lineRule="auto"/>
        <w:jc w:val="left"/>
        <w:rPr>
          <w:szCs w:val="24"/>
        </w:rPr>
      </w:pPr>
      <w:r w:rsidRPr="00DD2B9D">
        <w:rPr>
          <w:b/>
          <w:bCs/>
          <w:szCs w:val="24"/>
        </w:rPr>
        <w:t>Step 3:</w:t>
      </w:r>
      <w:r w:rsidRPr="00DD2B9D">
        <w:rPr>
          <w:szCs w:val="24"/>
        </w:rPr>
        <w:t xml:space="preserve"> Calculate the shocks under each risk module at the 99.5% risk measure percentage level</w:t>
      </w:r>
      <w:r w:rsidR="00B4356B" w:rsidRPr="00DD2B9D">
        <w:rPr>
          <w:szCs w:val="24"/>
        </w:rPr>
        <w:t>.</w:t>
      </w:r>
    </w:p>
    <w:p w14:paraId="09AAD747" w14:textId="77777777" w:rsidR="001F1469" w:rsidRDefault="001F1469" w:rsidP="00E216F8">
      <w:pPr>
        <w:pStyle w:val="ListParagraph"/>
        <w:spacing w:after="0" w:line="276" w:lineRule="auto"/>
        <w:ind w:left="1440"/>
        <w:contextualSpacing w:val="0"/>
        <w:jc w:val="left"/>
        <w:rPr>
          <w:i/>
          <w:iCs/>
          <w:szCs w:val="24"/>
        </w:rPr>
      </w:pPr>
    </w:p>
    <w:p w14:paraId="496BA064" w14:textId="5C23BFB7" w:rsidR="0066269D" w:rsidRPr="0005330C" w:rsidRDefault="0066269D" w:rsidP="00E216F8">
      <w:pPr>
        <w:spacing w:after="0" w:line="276" w:lineRule="auto"/>
        <w:jc w:val="left"/>
        <w:rPr>
          <w:szCs w:val="24"/>
        </w:rPr>
      </w:pPr>
      <w:r w:rsidRPr="0005330C">
        <w:rPr>
          <w:b/>
          <w:bCs/>
          <w:szCs w:val="24"/>
        </w:rPr>
        <w:t>Example</w:t>
      </w:r>
      <w:r w:rsidRPr="0005330C">
        <w:rPr>
          <w:szCs w:val="24"/>
        </w:rPr>
        <w:t>: The market</w:t>
      </w:r>
      <w:r w:rsidR="00B4356B" w:rsidRPr="0005330C">
        <w:rPr>
          <w:szCs w:val="24"/>
        </w:rPr>
        <w:t>-</w:t>
      </w:r>
      <w:r w:rsidRPr="0005330C">
        <w:rPr>
          <w:szCs w:val="24"/>
        </w:rPr>
        <w:t>related (non-mortality) shocks are calculated at €</w:t>
      </w:r>
      <w:r w:rsidR="00603ED2" w:rsidRPr="0005330C">
        <w:rPr>
          <w:szCs w:val="24"/>
        </w:rPr>
        <w:t>17</w:t>
      </w:r>
      <w:r w:rsidRPr="0005330C">
        <w:rPr>
          <w:szCs w:val="24"/>
        </w:rPr>
        <w:t>m. The most significant component of this is a shock of €</w:t>
      </w:r>
      <w:r w:rsidR="00D42FEF" w:rsidRPr="0005330C">
        <w:rPr>
          <w:szCs w:val="24"/>
        </w:rPr>
        <w:t>12</w:t>
      </w:r>
      <w:r w:rsidRPr="0005330C">
        <w:rPr>
          <w:szCs w:val="24"/>
        </w:rPr>
        <w:t>m arising from a €30m equity holding (</w:t>
      </w:r>
      <w:r w:rsidR="00D42FEF" w:rsidRPr="0005330C">
        <w:rPr>
          <w:szCs w:val="24"/>
        </w:rPr>
        <w:t>4</w:t>
      </w:r>
      <w:r w:rsidRPr="0005330C">
        <w:rPr>
          <w:szCs w:val="24"/>
        </w:rPr>
        <w:t xml:space="preserve">0%, from Table </w:t>
      </w:r>
      <w:r w:rsidR="00D9170B" w:rsidRPr="0005330C">
        <w:rPr>
          <w:szCs w:val="24"/>
        </w:rPr>
        <w:t>2</w:t>
      </w:r>
      <w:r w:rsidRPr="0005330C">
        <w:rPr>
          <w:szCs w:val="24"/>
        </w:rPr>
        <w:t>, of €30m). The mortality related shock arising from pensioners is calculated in the spreadsheet at €</w:t>
      </w:r>
      <w:r w:rsidR="00D42FEF" w:rsidRPr="0005330C">
        <w:rPr>
          <w:szCs w:val="24"/>
        </w:rPr>
        <w:t>5</w:t>
      </w:r>
      <w:r w:rsidRPr="0005330C">
        <w:rPr>
          <w:szCs w:val="24"/>
        </w:rPr>
        <w:t>m.</w:t>
      </w:r>
    </w:p>
    <w:p w14:paraId="49470082" w14:textId="77777777" w:rsidR="00CC13B8" w:rsidRDefault="00CC13B8" w:rsidP="00E216F8">
      <w:pPr>
        <w:pStyle w:val="ListParagraph"/>
        <w:spacing w:after="0" w:line="276" w:lineRule="auto"/>
        <w:contextualSpacing w:val="0"/>
        <w:jc w:val="left"/>
        <w:rPr>
          <w:szCs w:val="24"/>
        </w:rPr>
      </w:pPr>
    </w:p>
    <w:p w14:paraId="40F4FBB6" w14:textId="1A497F3F" w:rsidR="0066269D" w:rsidRPr="00DD2B9D" w:rsidRDefault="0066269D" w:rsidP="00E216F8">
      <w:pPr>
        <w:spacing w:after="0" w:line="276" w:lineRule="auto"/>
        <w:jc w:val="left"/>
        <w:rPr>
          <w:szCs w:val="24"/>
        </w:rPr>
      </w:pPr>
      <w:r w:rsidRPr="00DD2B9D">
        <w:rPr>
          <w:b/>
          <w:bCs/>
          <w:szCs w:val="24"/>
        </w:rPr>
        <w:t>Step 4:</w:t>
      </w:r>
      <w:r w:rsidRPr="00DD2B9D">
        <w:rPr>
          <w:szCs w:val="24"/>
        </w:rPr>
        <w:t xml:space="preserve"> Calculate the diversification benefits</w:t>
      </w:r>
      <w:r w:rsidR="00B4356B" w:rsidRPr="00DD2B9D">
        <w:rPr>
          <w:szCs w:val="24"/>
        </w:rPr>
        <w:t>.</w:t>
      </w:r>
    </w:p>
    <w:p w14:paraId="0458C6CE" w14:textId="77777777" w:rsidR="001F1469" w:rsidRDefault="001F1469" w:rsidP="00E216F8">
      <w:pPr>
        <w:pStyle w:val="ListParagraph"/>
        <w:spacing w:after="0" w:line="276" w:lineRule="auto"/>
        <w:ind w:left="1440"/>
        <w:contextualSpacing w:val="0"/>
        <w:jc w:val="left"/>
        <w:rPr>
          <w:i/>
          <w:iCs/>
          <w:szCs w:val="24"/>
        </w:rPr>
      </w:pPr>
    </w:p>
    <w:p w14:paraId="116957BA" w14:textId="33E9F5A8" w:rsidR="0066269D" w:rsidRPr="0005330C" w:rsidRDefault="0066269D" w:rsidP="00E216F8">
      <w:pPr>
        <w:spacing w:after="0" w:line="276" w:lineRule="auto"/>
        <w:jc w:val="left"/>
        <w:rPr>
          <w:szCs w:val="24"/>
        </w:rPr>
      </w:pPr>
      <w:r w:rsidRPr="0005330C">
        <w:rPr>
          <w:b/>
          <w:bCs/>
          <w:szCs w:val="24"/>
        </w:rPr>
        <w:t>Example</w:t>
      </w:r>
      <w:r w:rsidRPr="0005330C">
        <w:rPr>
          <w:szCs w:val="24"/>
        </w:rPr>
        <w:t>: The diversification benefit is calculated using the formula in the spreadsheet as €</w:t>
      </w:r>
      <w:r w:rsidR="00603ED2" w:rsidRPr="0005330C">
        <w:rPr>
          <w:szCs w:val="24"/>
        </w:rPr>
        <w:t>2</w:t>
      </w:r>
      <w:r w:rsidRPr="0005330C">
        <w:rPr>
          <w:szCs w:val="24"/>
        </w:rPr>
        <w:t>m, leaving a net shock of €</w:t>
      </w:r>
      <w:r w:rsidR="00603ED2" w:rsidRPr="0005330C">
        <w:rPr>
          <w:szCs w:val="24"/>
        </w:rPr>
        <w:t>15</w:t>
      </w:r>
      <w:r w:rsidRPr="0005330C">
        <w:rPr>
          <w:szCs w:val="24"/>
        </w:rPr>
        <w:t xml:space="preserve">m.  </w:t>
      </w:r>
    </w:p>
    <w:p w14:paraId="388CA36E" w14:textId="77777777" w:rsidR="00CC13B8" w:rsidRDefault="00CC13B8" w:rsidP="00E216F8">
      <w:pPr>
        <w:pStyle w:val="ListParagraph"/>
        <w:spacing w:after="0" w:line="276" w:lineRule="auto"/>
        <w:contextualSpacing w:val="0"/>
        <w:jc w:val="left"/>
        <w:rPr>
          <w:szCs w:val="24"/>
        </w:rPr>
      </w:pPr>
    </w:p>
    <w:p w14:paraId="11572F8C" w14:textId="10A3444B" w:rsidR="0066269D" w:rsidRDefault="0066269D" w:rsidP="00E216F8">
      <w:pPr>
        <w:spacing w:after="0" w:line="276" w:lineRule="auto"/>
        <w:jc w:val="left"/>
        <w:rPr>
          <w:szCs w:val="24"/>
        </w:rPr>
      </w:pPr>
      <w:r w:rsidRPr="00DD2B9D">
        <w:rPr>
          <w:b/>
          <w:bCs/>
          <w:szCs w:val="24"/>
        </w:rPr>
        <w:t>Step 5:</w:t>
      </w:r>
      <w:r w:rsidRPr="00DD2B9D">
        <w:rPr>
          <w:szCs w:val="24"/>
        </w:rPr>
        <w:t xml:space="preserve"> Assess the shock absorption ability</w:t>
      </w:r>
      <w:r w:rsidR="00B4356B" w:rsidRPr="00DD2B9D">
        <w:rPr>
          <w:szCs w:val="24"/>
        </w:rPr>
        <w:t>.</w:t>
      </w:r>
    </w:p>
    <w:p w14:paraId="26F22E54" w14:textId="77777777" w:rsidR="0005330C" w:rsidRPr="00DD2B9D" w:rsidRDefault="0005330C" w:rsidP="00E216F8">
      <w:pPr>
        <w:spacing w:after="0" w:line="276" w:lineRule="auto"/>
        <w:jc w:val="left"/>
        <w:rPr>
          <w:szCs w:val="24"/>
        </w:rPr>
      </w:pPr>
    </w:p>
    <w:p w14:paraId="58C7D172" w14:textId="3181F211" w:rsidR="0066269D" w:rsidRPr="0005330C" w:rsidRDefault="0066269D" w:rsidP="00E216F8">
      <w:pPr>
        <w:spacing w:after="0" w:line="276" w:lineRule="auto"/>
        <w:jc w:val="left"/>
        <w:rPr>
          <w:szCs w:val="24"/>
        </w:rPr>
      </w:pPr>
      <w:r w:rsidRPr="0005330C">
        <w:rPr>
          <w:b/>
          <w:bCs/>
          <w:szCs w:val="24"/>
        </w:rPr>
        <w:t>Example</w:t>
      </w:r>
      <w:r w:rsidRPr="0005330C">
        <w:rPr>
          <w:szCs w:val="24"/>
        </w:rPr>
        <w:t>: The excess of assets over liabilities is €5m, which is less than the net shock of €</w:t>
      </w:r>
      <w:r w:rsidR="00603ED2" w:rsidRPr="0005330C">
        <w:rPr>
          <w:szCs w:val="24"/>
        </w:rPr>
        <w:t>15</w:t>
      </w:r>
      <w:r w:rsidRPr="0005330C">
        <w:rPr>
          <w:szCs w:val="24"/>
        </w:rPr>
        <w:t>m, so the scheme is not funded to the 99.5% level.</w:t>
      </w:r>
    </w:p>
    <w:p w14:paraId="287097EC" w14:textId="77777777" w:rsidR="00CC13B8" w:rsidRDefault="00CC13B8" w:rsidP="00E216F8">
      <w:pPr>
        <w:pStyle w:val="ListParagraph"/>
        <w:spacing w:after="0" w:line="276" w:lineRule="auto"/>
        <w:contextualSpacing w:val="0"/>
        <w:jc w:val="left"/>
        <w:rPr>
          <w:szCs w:val="24"/>
        </w:rPr>
      </w:pPr>
    </w:p>
    <w:p w14:paraId="04BAD61D" w14:textId="77561C8B" w:rsidR="0066269D" w:rsidRPr="00DD2B9D" w:rsidRDefault="0066269D" w:rsidP="00E216F8">
      <w:pPr>
        <w:spacing w:after="0" w:line="276" w:lineRule="auto"/>
        <w:jc w:val="left"/>
        <w:rPr>
          <w:szCs w:val="24"/>
        </w:rPr>
      </w:pPr>
      <w:r w:rsidRPr="00DD2B9D">
        <w:rPr>
          <w:b/>
          <w:bCs/>
          <w:szCs w:val="24"/>
        </w:rPr>
        <w:t>Step 6:</w:t>
      </w:r>
      <w:r w:rsidRPr="00DD2B9D">
        <w:rPr>
          <w:szCs w:val="24"/>
        </w:rPr>
        <w:t xml:space="preserve"> The calculation is repeated as may be necessary at the lower risk levels</w:t>
      </w:r>
      <w:r w:rsidR="00B4356B" w:rsidRPr="00DD2B9D">
        <w:rPr>
          <w:szCs w:val="24"/>
        </w:rPr>
        <w:t>.</w:t>
      </w:r>
    </w:p>
    <w:p w14:paraId="527A94FE" w14:textId="77777777" w:rsidR="001F1469" w:rsidRPr="001F1469" w:rsidRDefault="001F1469" w:rsidP="00E216F8">
      <w:pPr>
        <w:pStyle w:val="ListParagraph"/>
        <w:spacing w:after="0" w:line="276" w:lineRule="auto"/>
        <w:ind w:left="1440"/>
        <w:contextualSpacing w:val="0"/>
        <w:jc w:val="left"/>
        <w:rPr>
          <w:szCs w:val="24"/>
        </w:rPr>
      </w:pPr>
    </w:p>
    <w:p w14:paraId="165C11F7" w14:textId="57D34860" w:rsidR="0066269D" w:rsidRPr="0005330C" w:rsidRDefault="0066269D" w:rsidP="00E216F8">
      <w:pPr>
        <w:spacing w:after="0" w:line="276" w:lineRule="auto"/>
        <w:jc w:val="left"/>
        <w:rPr>
          <w:szCs w:val="24"/>
        </w:rPr>
      </w:pPr>
      <w:r w:rsidRPr="0005330C">
        <w:rPr>
          <w:b/>
          <w:bCs/>
          <w:szCs w:val="24"/>
        </w:rPr>
        <w:t>Example</w:t>
      </w:r>
      <w:r w:rsidRPr="0005330C">
        <w:rPr>
          <w:szCs w:val="24"/>
        </w:rPr>
        <w:t xml:space="preserve">: </w:t>
      </w:r>
      <w:r w:rsidR="00B4356B" w:rsidRPr="0005330C">
        <w:rPr>
          <w:szCs w:val="24"/>
        </w:rPr>
        <w:t>T</w:t>
      </w:r>
      <w:r w:rsidRPr="0005330C">
        <w:rPr>
          <w:szCs w:val="24"/>
        </w:rPr>
        <w:t>he scheme was found to be not funded to the 99.5% level, so the calculations are repeated at the 97.5% level, and at lower levels as necessary, until a level is found where the excess of assets is greater than the shock total.</w:t>
      </w:r>
    </w:p>
    <w:p w14:paraId="73E7BE9F" w14:textId="77777777" w:rsidR="00B4356B" w:rsidRPr="00B4356B" w:rsidRDefault="00B4356B" w:rsidP="00E216F8">
      <w:pPr>
        <w:spacing w:after="0" w:line="276" w:lineRule="auto"/>
        <w:jc w:val="left"/>
        <w:rPr>
          <w:szCs w:val="24"/>
        </w:rPr>
      </w:pPr>
    </w:p>
    <w:p w14:paraId="2877F881" w14:textId="6B1B8EB9" w:rsidR="00044FBB" w:rsidRPr="00044FBB" w:rsidRDefault="00A35D9C" w:rsidP="0005330C">
      <w:pPr>
        <w:pStyle w:val="Heading4"/>
      </w:pPr>
      <w:bookmarkStart w:id="10" w:name="_Toc87976284"/>
      <w:r>
        <w:t>Risk measure</w:t>
      </w:r>
      <w:r w:rsidR="00044FBB" w:rsidRPr="00044FBB">
        <w:t xml:space="preserve"> spreadsheet</w:t>
      </w:r>
      <w:bookmarkEnd w:id="10"/>
    </w:p>
    <w:p w14:paraId="7C9DD463" w14:textId="5F8C701A" w:rsidR="00B556F3" w:rsidRDefault="00E972CB" w:rsidP="00E216F8">
      <w:pPr>
        <w:spacing w:after="0" w:line="276" w:lineRule="auto"/>
        <w:jc w:val="left"/>
        <w:rPr>
          <w:szCs w:val="24"/>
        </w:rPr>
      </w:pPr>
      <w:r w:rsidRPr="005E210A">
        <w:rPr>
          <w:szCs w:val="24"/>
        </w:rPr>
        <w:t>The spreadsheet has several tabs. Below are notes on the tabs related to the calculation steps listed above.</w:t>
      </w:r>
    </w:p>
    <w:p w14:paraId="0A3D629E" w14:textId="77777777" w:rsidR="00B4356B" w:rsidRPr="005E210A" w:rsidRDefault="00B4356B" w:rsidP="00E216F8">
      <w:pPr>
        <w:spacing w:after="0" w:line="276" w:lineRule="auto"/>
        <w:jc w:val="left"/>
        <w:rPr>
          <w:szCs w:val="24"/>
        </w:rPr>
      </w:pPr>
    </w:p>
    <w:p w14:paraId="2EC9BB71" w14:textId="29B57E7F" w:rsidR="004A16E0" w:rsidRDefault="00513212" w:rsidP="00E216F8">
      <w:pPr>
        <w:spacing w:after="0" w:line="276" w:lineRule="auto"/>
        <w:jc w:val="left"/>
        <w:rPr>
          <w:b/>
          <w:bCs/>
          <w:szCs w:val="24"/>
        </w:rPr>
      </w:pPr>
      <w:r w:rsidRPr="005E210A">
        <w:rPr>
          <w:b/>
          <w:bCs/>
          <w:szCs w:val="24"/>
        </w:rPr>
        <w:t>Balance</w:t>
      </w:r>
      <w:r w:rsidR="00B4356B">
        <w:rPr>
          <w:b/>
          <w:bCs/>
          <w:szCs w:val="24"/>
        </w:rPr>
        <w:t xml:space="preserve"> </w:t>
      </w:r>
      <w:r w:rsidR="001C6F16" w:rsidRPr="005E210A">
        <w:rPr>
          <w:b/>
          <w:bCs/>
          <w:szCs w:val="24"/>
        </w:rPr>
        <w:t>shee</w:t>
      </w:r>
      <w:r w:rsidR="004A16E0">
        <w:rPr>
          <w:b/>
          <w:bCs/>
          <w:szCs w:val="24"/>
        </w:rPr>
        <w:t>t tab</w:t>
      </w:r>
    </w:p>
    <w:p w14:paraId="58A4045D" w14:textId="77777777" w:rsidR="00B4356B" w:rsidRDefault="00B4356B" w:rsidP="00E216F8">
      <w:pPr>
        <w:spacing w:after="0" w:line="276" w:lineRule="auto"/>
        <w:jc w:val="left"/>
        <w:rPr>
          <w:b/>
          <w:bCs/>
          <w:szCs w:val="24"/>
        </w:rPr>
      </w:pPr>
    </w:p>
    <w:p w14:paraId="2D1C1E43" w14:textId="3F7978CD" w:rsidR="006351C3" w:rsidRDefault="001C6F16" w:rsidP="00E216F8">
      <w:pPr>
        <w:spacing w:after="0" w:line="276" w:lineRule="auto"/>
        <w:jc w:val="left"/>
        <w:rPr>
          <w:szCs w:val="24"/>
        </w:rPr>
      </w:pPr>
      <w:r w:rsidRPr="00987F00">
        <w:rPr>
          <w:szCs w:val="24"/>
        </w:rPr>
        <w:t>The</w:t>
      </w:r>
      <w:r w:rsidR="006351C3" w:rsidRPr="00987F00">
        <w:rPr>
          <w:szCs w:val="24"/>
        </w:rPr>
        <w:t xml:space="preserve"> completion of this sheet </w:t>
      </w:r>
      <w:r w:rsidR="009E41A0">
        <w:rPr>
          <w:szCs w:val="24"/>
        </w:rPr>
        <w:t>achieves</w:t>
      </w:r>
      <w:r w:rsidR="009E41A0" w:rsidRPr="00987F00">
        <w:rPr>
          <w:szCs w:val="24"/>
        </w:rPr>
        <w:t xml:space="preserve"> </w:t>
      </w:r>
      <w:r w:rsidR="006351C3" w:rsidRPr="00987F00">
        <w:rPr>
          <w:szCs w:val="24"/>
        </w:rPr>
        <w:t xml:space="preserve">Step 1 above, i.e., </w:t>
      </w:r>
      <w:r w:rsidR="009E41A0">
        <w:rPr>
          <w:szCs w:val="24"/>
        </w:rPr>
        <w:t>establishing</w:t>
      </w:r>
      <w:r w:rsidR="009E41A0" w:rsidRPr="00987F00">
        <w:rPr>
          <w:szCs w:val="24"/>
        </w:rPr>
        <w:t xml:space="preserve"> </w:t>
      </w:r>
      <w:r w:rsidR="006351C3" w:rsidRPr="00987F00">
        <w:rPr>
          <w:szCs w:val="24"/>
        </w:rPr>
        <w:t>the funding standard assets and liabilities.</w:t>
      </w:r>
      <w:r w:rsidR="004A16E0">
        <w:rPr>
          <w:szCs w:val="24"/>
        </w:rPr>
        <w:t xml:space="preserve"> </w:t>
      </w:r>
      <w:r w:rsidR="006351C3" w:rsidRPr="005E210A">
        <w:rPr>
          <w:szCs w:val="24"/>
        </w:rPr>
        <w:t xml:space="preserve">The critical information derived from this sheet is the difference between the total assets and liabilities. </w:t>
      </w:r>
      <w:r w:rsidR="000D58E5">
        <w:rPr>
          <w:szCs w:val="24"/>
        </w:rPr>
        <w:t xml:space="preserve">Further on in the process, </w:t>
      </w:r>
      <w:r w:rsidR="004F01D9">
        <w:rPr>
          <w:szCs w:val="24"/>
        </w:rPr>
        <w:t xml:space="preserve">this </w:t>
      </w:r>
      <w:r w:rsidR="004F01D9" w:rsidRPr="005E210A">
        <w:rPr>
          <w:szCs w:val="24"/>
        </w:rPr>
        <w:t>amount</w:t>
      </w:r>
      <w:r w:rsidR="006351C3" w:rsidRPr="005E210A">
        <w:rPr>
          <w:szCs w:val="24"/>
        </w:rPr>
        <w:t xml:space="preserve"> is compared </w:t>
      </w:r>
      <w:r w:rsidR="009E41A0">
        <w:rPr>
          <w:szCs w:val="24"/>
        </w:rPr>
        <w:t>with</w:t>
      </w:r>
      <w:r w:rsidR="009E41A0" w:rsidRPr="005E210A">
        <w:rPr>
          <w:szCs w:val="24"/>
        </w:rPr>
        <w:t xml:space="preserve"> </w:t>
      </w:r>
      <w:r w:rsidR="006351C3" w:rsidRPr="005E210A">
        <w:rPr>
          <w:szCs w:val="24"/>
        </w:rPr>
        <w:t>the calculated shock amount to see if the scheme can absorb the shock without further assistance.</w:t>
      </w:r>
    </w:p>
    <w:p w14:paraId="321C1ED9" w14:textId="7BD84485" w:rsidR="00DD2B9D" w:rsidRDefault="00DD2B9D" w:rsidP="00E216F8">
      <w:pPr>
        <w:spacing w:after="0" w:line="276" w:lineRule="auto"/>
        <w:jc w:val="left"/>
        <w:rPr>
          <w:szCs w:val="24"/>
        </w:rPr>
      </w:pPr>
    </w:p>
    <w:p w14:paraId="32C98C6A" w14:textId="5D3281B4" w:rsidR="00DD2B9D" w:rsidRDefault="00DD2B9D" w:rsidP="00E216F8">
      <w:pPr>
        <w:spacing w:after="0" w:line="276" w:lineRule="auto"/>
        <w:jc w:val="left"/>
        <w:rPr>
          <w:szCs w:val="24"/>
        </w:rPr>
      </w:pPr>
    </w:p>
    <w:p w14:paraId="75A6B5C5" w14:textId="77777777" w:rsidR="005B6F84" w:rsidRDefault="005B6F84" w:rsidP="00E216F8">
      <w:pPr>
        <w:spacing w:after="0" w:line="276" w:lineRule="auto"/>
        <w:jc w:val="left"/>
        <w:rPr>
          <w:szCs w:val="24"/>
        </w:rPr>
      </w:pPr>
    </w:p>
    <w:p w14:paraId="7D10CF28" w14:textId="68203010" w:rsidR="004A16E0" w:rsidRDefault="004A16E0" w:rsidP="00E216F8">
      <w:pPr>
        <w:spacing w:after="0" w:line="276" w:lineRule="auto"/>
        <w:jc w:val="left"/>
        <w:rPr>
          <w:b/>
          <w:bCs/>
          <w:szCs w:val="24"/>
        </w:rPr>
      </w:pPr>
      <w:r>
        <w:rPr>
          <w:b/>
          <w:bCs/>
          <w:szCs w:val="24"/>
        </w:rPr>
        <w:t>S</w:t>
      </w:r>
      <w:r w:rsidR="006351C3" w:rsidRPr="005E210A">
        <w:rPr>
          <w:b/>
          <w:bCs/>
          <w:szCs w:val="24"/>
        </w:rPr>
        <w:t>hocks</w:t>
      </w:r>
      <w:r>
        <w:rPr>
          <w:b/>
          <w:bCs/>
          <w:szCs w:val="24"/>
        </w:rPr>
        <w:t xml:space="preserve"> tab</w:t>
      </w:r>
    </w:p>
    <w:p w14:paraId="35E0BD84" w14:textId="77777777" w:rsidR="00B4356B" w:rsidRDefault="00B4356B" w:rsidP="00E216F8">
      <w:pPr>
        <w:spacing w:after="0" w:line="276" w:lineRule="auto"/>
        <w:jc w:val="left"/>
        <w:rPr>
          <w:b/>
          <w:bCs/>
          <w:szCs w:val="24"/>
        </w:rPr>
      </w:pPr>
    </w:p>
    <w:p w14:paraId="3A5FBC23" w14:textId="58D7901B" w:rsidR="006351C3" w:rsidRDefault="006351C3" w:rsidP="00E216F8">
      <w:pPr>
        <w:spacing w:after="0" w:line="276" w:lineRule="auto"/>
        <w:jc w:val="left"/>
        <w:rPr>
          <w:szCs w:val="24"/>
        </w:rPr>
      </w:pPr>
      <w:r w:rsidRPr="005E210A">
        <w:rPr>
          <w:szCs w:val="24"/>
        </w:rPr>
        <w:lastRenderedPageBreak/>
        <w:t xml:space="preserve">Completion of this sheet </w:t>
      </w:r>
      <w:r w:rsidR="009E41A0">
        <w:rPr>
          <w:szCs w:val="24"/>
        </w:rPr>
        <w:t>achieves</w:t>
      </w:r>
      <w:r w:rsidR="009E41A0" w:rsidRPr="005E210A">
        <w:rPr>
          <w:szCs w:val="24"/>
        </w:rPr>
        <w:t xml:space="preserve"> </w:t>
      </w:r>
      <w:r w:rsidRPr="005E210A">
        <w:rPr>
          <w:szCs w:val="24"/>
        </w:rPr>
        <w:t>Steps 2 and 3 above.</w:t>
      </w:r>
      <w:r w:rsidR="004A16E0">
        <w:rPr>
          <w:szCs w:val="24"/>
        </w:rPr>
        <w:t xml:space="preserve"> </w:t>
      </w:r>
      <w:r w:rsidRPr="005E210A">
        <w:rPr>
          <w:szCs w:val="24"/>
        </w:rPr>
        <w:t xml:space="preserve">In general, the </w:t>
      </w:r>
      <w:r w:rsidR="00D27BDA">
        <w:rPr>
          <w:szCs w:val="24"/>
        </w:rPr>
        <w:t>practitioner</w:t>
      </w:r>
      <w:r w:rsidRPr="005E210A">
        <w:rPr>
          <w:szCs w:val="24"/>
        </w:rPr>
        <w:t xml:space="preserve"> needs to create at least one </w:t>
      </w:r>
      <w:r w:rsidR="00B4356B">
        <w:rPr>
          <w:szCs w:val="24"/>
        </w:rPr>
        <w:t>‘</w:t>
      </w:r>
      <w:r w:rsidR="00F856BF" w:rsidRPr="005E210A">
        <w:rPr>
          <w:szCs w:val="24"/>
        </w:rPr>
        <w:t xml:space="preserve">shock </w:t>
      </w:r>
      <w:r w:rsidRPr="005E210A">
        <w:rPr>
          <w:szCs w:val="24"/>
        </w:rPr>
        <w:t>row</w:t>
      </w:r>
      <w:r w:rsidR="00B4356B">
        <w:rPr>
          <w:szCs w:val="24"/>
        </w:rPr>
        <w:t>’</w:t>
      </w:r>
      <w:r w:rsidRPr="005E210A">
        <w:rPr>
          <w:szCs w:val="24"/>
        </w:rPr>
        <w:t xml:space="preserve"> on the Shocks tab to correspond with each material risk identified</w:t>
      </w:r>
      <w:r w:rsidR="004B7BEB">
        <w:rPr>
          <w:szCs w:val="24"/>
        </w:rPr>
        <w:t xml:space="preserve"> </w:t>
      </w:r>
      <w:r w:rsidR="009E41A0">
        <w:rPr>
          <w:szCs w:val="24"/>
        </w:rPr>
        <w:t>(see</w:t>
      </w:r>
      <w:r w:rsidRPr="005E210A">
        <w:rPr>
          <w:szCs w:val="24"/>
        </w:rPr>
        <w:t xml:space="preserve"> Table </w:t>
      </w:r>
      <w:r w:rsidR="00D9170B">
        <w:rPr>
          <w:szCs w:val="24"/>
        </w:rPr>
        <w:t>3</w:t>
      </w:r>
      <w:r w:rsidRPr="005E210A">
        <w:rPr>
          <w:szCs w:val="24"/>
        </w:rPr>
        <w:t xml:space="preserve"> above</w:t>
      </w:r>
      <w:r w:rsidR="009E41A0">
        <w:rPr>
          <w:szCs w:val="24"/>
        </w:rPr>
        <w:t>)</w:t>
      </w:r>
      <w:r w:rsidRPr="005E210A">
        <w:rPr>
          <w:szCs w:val="24"/>
        </w:rPr>
        <w:t>.</w:t>
      </w:r>
    </w:p>
    <w:p w14:paraId="05D966D5" w14:textId="072935D0" w:rsidR="00B4356B" w:rsidRPr="005E210A" w:rsidRDefault="00B4356B" w:rsidP="00E216F8">
      <w:pPr>
        <w:spacing w:after="0" w:line="276" w:lineRule="auto"/>
        <w:jc w:val="left"/>
        <w:rPr>
          <w:szCs w:val="24"/>
        </w:rPr>
      </w:pPr>
    </w:p>
    <w:p w14:paraId="5A07A59B" w14:textId="57F4B945" w:rsidR="00F856BF" w:rsidRDefault="009E41A0" w:rsidP="00E216F8">
      <w:pPr>
        <w:spacing w:after="0" w:line="276" w:lineRule="auto"/>
        <w:jc w:val="left"/>
        <w:rPr>
          <w:szCs w:val="24"/>
        </w:rPr>
      </w:pPr>
      <w:r w:rsidRPr="005E210A">
        <w:rPr>
          <w:szCs w:val="24"/>
        </w:rPr>
        <w:t xml:space="preserve">It will </w:t>
      </w:r>
      <w:r>
        <w:rPr>
          <w:szCs w:val="24"/>
        </w:rPr>
        <w:t xml:space="preserve">frequently </w:t>
      </w:r>
      <w:r w:rsidRPr="005E210A">
        <w:rPr>
          <w:szCs w:val="24"/>
        </w:rPr>
        <w:t xml:space="preserve">be </w:t>
      </w:r>
      <w:r>
        <w:rPr>
          <w:szCs w:val="24"/>
        </w:rPr>
        <w:t xml:space="preserve">the case that </w:t>
      </w:r>
      <w:r w:rsidRPr="005E210A">
        <w:rPr>
          <w:szCs w:val="24"/>
        </w:rPr>
        <w:t xml:space="preserve">there </w:t>
      </w:r>
      <w:r>
        <w:rPr>
          <w:szCs w:val="24"/>
        </w:rPr>
        <w:t>is</w:t>
      </w:r>
      <w:r w:rsidRPr="005E210A">
        <w:rPr>
          <w:szCs w:val="24"/>
        </w:rPr>
        <w:t xml:space="preserve"> more than one </w:t>
      </w:r>
      <w:r w:rsidR="00D27BDA">
        <w:rPr>
          <w:szCs w:val="24"/>
        </w:rPr>
        <w:t xml:space="preserve">row on the shocks tab </w:t>
      </w:r>
      <w:r w:rsidRPr="005E210A">
        <w:rPr>
          <w:szCs w:val="24"/>
        </w:rPr>
        <w:t xml:space="preserve">for each material risk identified. </w:t>
      </w:r>
      <w:r w:rsidR="00D27BDA">
        <w:rPr>
          <w:szCs w:val="24"/>
        </w:rPr>
        <w:t>For e</w:t>
      </w:r>
      <w:r w:rsidR="00D27BDA" w:rsidRPr="005E210A">
        <w:rPr>
          <w:szCs w:val="24"/>
        </w:rPr>
        <w:t>xample</w:t>
      </w:r>
      <w:r w:rsidR="00D27BDA">
        <w:rPr>
          <w:szCs w:val="24"/>
        </w:rPr>
        <w:t>,</w:t>
      </w:r>
      <w:r w:rsidR="00D27BDA" w:rsidRPr="005E210A">
        <w:rPr>
          <w:szCs w:val="24"/>
        </w:rPr>
        <w:t xml:space="preserve"> </w:t>
      </w:r>
      <w:r w:rsidR="0028615A">
        <w:rPr>
          <w:szCs w:val="24"/>
        </w:rPr>
        <w:t xml:space="preserve">in the case of longevity risk, </w:t>
      </w:r>
      <w:r w:rsidR="00D27BDA">
        <w:rPr>
          <w:szCs w:val="24"/>
        </w:rPr>
        <w:t xml:space="preserve">there </w:t>
      </w:r>
      <w:r w:rsidR="00D27BDA" w:rsidRPr="005E210A">
        <w:rPr>
          <w:szCs w:val="24"/>
        </w:rPr>
        <w:t xml:space="preserve">could </w:t>
      </w:r>
      <w:r w:rsidR="00D27BDA">
        <w:rPr>
          <w:szCs w:val="24"/>
        </w:rPr>
        <w:t>be four</w:t>
      </w:r>
      <w:r w:rsidR="00D27BDA" w:rsidRPr="005E210A">
        <w:rPr>
          <w:szCs w:val="24"/>
        </w:rPr>
        <w:t xml:space="preserve"> rows for pensioners, </w:t>
      </w:r>
      <w:r w:rsidR="00D27BDA">
        <w:rPr>
          <w:szCs w:val="24"/>
        </w:rPr>
        <w:t xml:space="preserve">covering </w:t>
      </w:r>
      <w:r w:rsidR="00603ED2">
        <w:rPr>
          <w:szCs w:val="24"/>
        </w:rPr>
        <w:t xml:space="preserve">two </w:t>
      </w:r>
      <w:r w:rsidR="00D27BDA">
        <w:rPr>
          <w:szCs w:val="24"/>
        </w:rPr>
        <w:t xml:space="preserve">genders and </w:t>
      </w:r>
      <w:r w:rsidR="00603ED2">
        <w:rPr>
          <w:szCs w:val="24"/>
        </w:rPr>
        <w:t xml:space="preserve">two </w:t>
      </w:r>
      <w:r w:rsidR="00D27BDA">
        <w:rPr>
          <w:szCs w:val="24"/>
        </w:rPr>
        <w:t>escalation</w:t>
      </w:r>
      <w:r w:rsidR="00603ED2">
        <w:rPr>
          <w:szCs w:val="24"/>
        </w:rPr>
        <w:t>s</w:t>
      </w:r>
      <w:r w:rsidR="0028615A">
        <w:rPr>
          <w:szCs w:val="24"/>
        </w:rPr>
        <w:t>, or separate rows for different age bands</w:t>
      </w:r>
      <w:r w:rsidR="00D27BDA">
        <w:rPr>
          <w:szCs w:val="24"/>
        </w:rPr>
        <w:t xml:space="preserve">. </w:t>
      </w:r>
      <w:r w:rsidRPr="005E210A">
        <w:rPr>
          <w:szCs w:val="24"/>
        </w:rPr>
        <w:t>A</w:t>
      </w:r>
      <w:r>
        <w:rPr>
          <w:szCs w:val="24"/>
        </w:rPr>
        <w:t>s a</w:t>
      </w:r>
      <w:r w:rsidRPr="005E210A">
        <w:rPr>
          <w:szCs w:val="24"/>
        </w:rPr>
        <w:t>nother example</w:t>
      </w:r>
      <w:r>
        <w:rPr>
          <w:szCs w:val="24"/>
        </w:rPr>
        <w:t>,</w:t>
      </w:r>
      <w:r w:rsidRPr="005E210A">
        <w:rPr>
          <w:szCs w:val="24"/>
        </w:rPr>
        <w:t xml:space="preserve"> </w:t>
      </w:r>
      <w:r>
        <w:rPr>
          <w:szCs w:val="24"/>
        </w:rPr>
        <w:t xml:space="preserve">for </w:t>
      </w:r>
      <w:r w:rsidRPr="005E210A">
        <w:rPr>
          <w:szCs w:val="24"/>
        </w:rPr>
        <w:t>a scheme</w:t>
      </w:r>
      <w:r>
        <w:rPr>
          <w:szCs w:val="24"/>
        </w:rPr>
        <w:t xml:space="preserve"> that had</w:t>
      </w:r>
      <w:r w:rsidRPr="005E210A">
        <w:rPr>
          <w:szCs w:val="24"/>
        </w:rPr>
        <w:t xml:space="preserve"> bond holdings with significant amounts classified under different credit quality steps</w:t>
      </w:r>
      <w:r>
        <w:rPr>
          <w:szCs w:val="24"/>
        </w:rPr>
        <w:t xml:space="preserve">, there would need to be a separate </w:t>
      </w:r>
      <w:r w:rsidRPr="005E210A">
        <w:rPr>
          <w:szCs w:val="24"/>
        </w:rPr>
        <w:t xml:space="preserve">row for each credit quality step </w:t>
      </w:r>
      <w:r w:rsidR="00D27BDA">
        <w:rPr>
          <w:szCs w:val="24"/>
        </w:rPr>
        <w:t xml:space="preserve">where there is </w:t>
      </w:r>
      <w:r w:rsidRPr="005E210A">
        <w:rPr>
          <w:szCs w:val="24"/>
        </w:rPr>
        <w:t>a material holding.</w:t>
      </w:r>
      <w:r w:rsidR="00554A2A">
        <w:rPr>
          <w:szCs w:val="24"/>
        </w:rPr>
        <w:t xml:space="preserve"> </w:t>
      </w:r>
      <w:r w:rsidR="00F856BF" w:rsidRPr="005E210A">
        <w:rPr>
          <w:szCs w:val="24"/>
        </w:rPr>
        <w:t xml:space="preserve">The </w:t>
      </w:r>
      <w:r w:rsidR="00D27BDA">
        <w:rPr>
          <w:szCs w:val="24"/>
        </w:rPr>
        <w:t>practitioner</w:t>
      </w:r>
      <w:r w:rsidR="00F856BF" w:rsidRPr="005E210A">
        <w:rPr>
          <w:szCs w:val="24"/>
        </w:rPr>
        <w:t xml:space="preserve"> needs to input </w:t>
      </w:r>
      <w:r w:rsidR="00E66B49" w:rsidRPr="005E210A">
        <w:rPr>
          <w:szCs w:val="24"/>
        </w:rPr>
        <w:t>the following</w:t>
      </w:r>
      <w:r w:rsidR="00F856BF" w:rsidRPr="005E210A">
        <w:rPr>
          <w:szCs w:val="24"/>
        </w:rPr>
        <w:t xml:space="preserve"> information into </w:t>
      </w:r>
      <w:r w:rsidR="00583969" w:rsidRPr="005E210A">
        <w:rPr>
          <w:szCs w:val="24"/>
        </w:rPr>
        <w:t xml:space="preserve">at least </w:t>
      </w:r>
      <w:r w:rsidR="00F856BF" w:rsidRPr="005E210A">
        <w:rPr>
          <w:szCs w:val="24"/>
        </w:rPr>
        <w:t>four columns for each row to enable the spreadsheet carry out the shock calculation.</w:t>
      </w:r>
      <w:r w:rsidR="004A16E0">
        <w:rPr>
          <w:szCs w:val="24"/>
        </w:rPr>
        <w:t xml:space="preserve"> </w:t>
      </w:r>
      <w:r w:rsidR="00F856BF" w:rsidRPr="005E210A">
        <w:rPr>
          <w:szCs w:val="24"/>
        </w:rPr>
        <w:t>These columns are</w:t>
      </w:r>
      <w:r w:rsidR="004A16E0">
        <w:rPr>
          <w:szCs w:val="24"/>
        </w:rPr>
        <w:t>:</w:t>
      </w:r>
      <w:r w:rsidR="00F856BF" w:rsidRPr="005E210A">
        <w:rPr>
          <w:szCs w:val="24"/>
        </w:rPr>
        <w:t xml:space="preserve"> </w:t>
      </w:r>
    </w:p>
    <w:p w14:paraId="4531B165" w14:textId="77777777" w:rsidR="00B4356B" w:rsidRPr="005E210A" w:rsidRDefault="00B4356B" w:rsidP="00E216F8">
      <w:pPr>
        <w:spacing w:after="0" w:line="276" w:lineRule="auto"/>
        <w:jc w:val="left"/>
        <w:rPr>
          <w:szCs w:val="24"/>
        </w:rPr>
      </w:pPr>
    </w:p>
    <w:p w14:paraId="1B58D322" w14:textId="7D466714" w:rsidR="00F856BF" w:rsidRDefault="004A16E0" w:rsidP="00E216F8">
      <w:pPr>
        <w:pStyle w:val="ListParagraph"/>
        <w:numPr>
          <w:ilvl w:val="0"/>
          <w:numId w:val="9"/>
        </w:numPr>
        <w:spacing w:after="0" w:line="276" w:lineRule="auto"/>
        <w:contextualSpacing w:val="0"/>
        <w:jc w:val="left"/>
        <w:rPr>
          <w:szCs w:val="24"/>
        </w:rPr>
      </w:pPr>
      <w:r w:rsidRPr="004A16E0">
        <w:rPr>
          <w:szCs w:val="24"/>
        </w:rPr>
        <w:t>Description</w:t>
      </w:r>
      <w:r>
        <w:rPr>
          <w:szCs w:val="24"/>
        </w:rPr>
        <w:t xml:space="preserve">. </w:t>
      </w:r>
    </w:p>
    <w:p w14:paraId="10ED5CE9" w14:textId="77777777" w:rsidR="001F1469" w:rsidRPr="004A16E0" w:rsidRDefault="001F1469" w:rsidP="00E216F8">
      <w:pPr>
        <w:pStyle w:val="ListParagraph"/>
        <w:spacing w:after="0" w:line="276" w:lineRule="auto"/>
        <w:contextualSpacing w:val="0"/>
        <w:jc w:val="left"/>
        <w:rPr>
          <w:szCs w:val="24"/>
        </w:rPr>
      </w:pPr>
    </w:p>
    <w:p w14:paraId="19E49D07" w14:textId="4DC58577" w:rsidR="001F1469" w:rsidRDefault="00F856BF" w:rsidP="00E216F8">
      <w:pPr>
        <w:pStyle w:val="ListParagraph"/>
        <w:numPr>
          <w:ilvl w:val="0"/>
          <w:numId w:val="9"/>
        </w:numPr>
        <w:spacing w:after="0" w:line="276" w:lineRule="auto"/>
        <w:contextualSpacing w:val="0"/>
        <w:jc w:val="left"/>
        <w:rPr>
          <w:szCs w:val="24"/>
        </w:rPr>
      </w:pPr>
      <w:r w:rsidRPr="004A16E0">
        <w:rPr>
          <w:szCs w:val="24"/>
        </w:rPr>
        <w:t>Euro risk amount (nominal)</w:t>
      </w:r>
      <w:r w:rsidR="004A16E0">
        <w:rPr>
          <w:szCs w:val="24"/>
        </w:rPr>
        <w:t>. T</w:t>
      </w:r>
      <w:r w:rsidRPr="004A16E0">
        <w:rPr>
          <w:szCs w:val="24"/>
        </w:rPr>
        <w:t xml:space="preserve">his is the base amount that the spreadsheet will use to apply the stress parameter to generate the shock value. For </w:t>
      </w:r>
      <w:r w:rsidR="000D250A">
        <w:rPr>
          <w:szCs w:val="24"/>
        </w:rPr>
        <w:t>assets other than derivatives</w:t>
      </w:r>
      <w:r w:rsidRPr="004A16E0">
        <w:rPr>
          <w:szCs w:val="24"/>
        </w:rPr>
        <w:t xml:space="preserve">, this will be the open market value of </w:t>
      </w:r>
      <w:r w:rsidR="000D250A">
        <w:rPr>
          <w:szCs w:val="24"/>
        </w:rPr>
        <w:t xml:space="preserve">the </w:t>
      </w:r>
      <w:r w:rsidRPr="004A16E0">
        <w:rPr>
          <w:szCs w:val="24"/>
        </w:rPr>
        <w:t xml:space="preserve">assets. For derivatives, the amount entered </w:t>
      </w:r>
      <w:r w:rsidR="000D250A">
        <w:rPr>
          <w:szCs w:val="24"/>
        </w:rPr>
        <w:t>should reflect the nominal risk exposure.</w:t>
      </w:r>
    </w:p>
    <w:p w14:paraId="5D05E1DD" w14:textId="0E7E2F2D" w:rsidR="004A16E0" w:rsidRPr="001F1469" w:rsidRDefault="000D250A" w:rsidP="00E216F8">
      <w:pPr>
        <w:spacing w:after="0" w:line="276" w:lineRule="auto"/>
        <w:jc w:val="left"/>
        <w:rPr>
          <w:szCs w:val="24"/>
        </w:rPr>
      </w:pPr>
      <w:r w:rsidRPr="001F1469">
        <w:rPr>
          <w:szCs w:val="24"/>
        </w:rPr>
        <w:t xml:space="preserve"> </w:t>
      </w:r>
    </w:p>
    <w:p w14:paraId="3162AE81" w14:textId="7D1206D2" w:rsidR="004A16E0" w:rsidRDefault="00583969" w:rsidP="00E216F8">
      <w:pPr>
        <w:pStyle w:val="ListParagraph"/>
        <w:numPr>
          <w:ilvl w:val="0"/>
          <w:numId w:val="9"/>
        </w:numPr>
        <w:spacing w:after="0" w:line="276" w:lineRule="auto"/>
        <w:contextualSpacing w:val="0"/>
        <w:jc w:val="left"/>
        <w:rPr>
          <w:szCs w:val="24"/>
        </w:rPr>
      </w:pPr>
      <w:r w:rsidRPr="004A16E0">
        <w:rPr>
          <w:szCs w:val="24"/>
        </w:rPr>
        <w:t>Risk-type</w:t>
      </w:r>
      <w:r w:rsidR="004A16E0">
        <w:rPr>
          <w:szCs w:val="24"/>
        </w:rPr>
        <w:t>. T</w:t>
      </w:r>
      <w:r w:rsidRPr="004A16E0">
        <w:rPr>
          <w:szCs w:val="24"/>
        </w:rPr>
        <w:t>his is a drop</w:t>
      </w:r>
      <w:r w:rsidR="00393477">
        <w:rPr>
          <w:szCs w:val="24"/>
        </w:rPr>
        <w:t>-</w:t>
      </w:r>
      <w:r w:rsidRPr="004A16E0">
        <w:rPr>
          <w:szCs w:val="24"/>
        </w:rPr>
        <w:t>down menu of the available risk types</w:t>
      </w:r>
      <w:r w:rsidR="004A16E0" w:rsidRPr="004A16E0">
        <w:rPr>
          <w:szCs w:val="24"/>
        </w:rPr>
        <w:t>.</w:t>
      </w:r>
    </w:p>
    <w:p w14:paraId="379C9EA0" w14:textId="77777777" w:rsidR="001F1469" w:rsidRDefault="001F1469" w:rsidP="00E216F8">
      <w:pPr>
        <w:pStyle w:val="ListParagraph"/>
        <w:spacing w:after="0" w:line="276" w:lineRule="auto"/>
        <w:contextualSpacing w:val="0"/>
        <w:jc w:val="left"/>
        <w:rPr>
          <w:szCs w:val="24"/>
        </w:rPr>
      </w:pPr>
    </w:p>
    <w:p w14:paraId="5B664C28" w14:textId="216444FD" w:rsidR="00F902B4" w:rsidRDefault="00583969" w:rsidP="00E216F8">
      <w:pPr>
        <w:pStyle w:val="ListParagraph"/>
        <w:numPr>
          <w:ilvl w:val="0"/>
          <w:numId w:val="9"/>
        </w:numPr>
        <w:spacing w:after="0" w:line="276" w:lineRule="auto"/>
        <w:contextualSpacing w:val="0"/>
        <w:jc w:val="left"/>
        <w:rPr>
          <w:szCs w:val="24"/>
        </w:rPr>
      </w:pPr>
      <w:r w:rsidRPr="00F902B4">
        <w:rPr>
          <w:szCs w:val="24"/>
        </w:rPr>
        <w:t>Shock calculation method</w:t>
      </w:r>
      <w:r w:rsidR="004A16E0" w:rsidRPr="00F902B4">
        <w:rPr>
          <w:szCs w:val="24"/>
        </w:rPr>
        <w:t>. T</w:t>
      </w:r>
      <w:r w:rsidRPr="00F902B4">
        <w:rPr>
          <w:szCs w:val="24"/>
        </w:rPr>
        <w:t>his is a drop</w:t>
      </w:r>
      <w:r w:rsidR="00393477" w:rsidRPr="00F902B4">
        <w:rPr>
          <w:szCs w:val="24"/>
        </w:rPr>
        <w:t>-</w:t>
      </w:r>
      <w:r w:rsidRPr="00F902B4">
        <w:rPr>
          <w:szCs w:val="24"/>
        </w:rPr>
        <w:t>down menu of the available calculation methods for the different risk modules. For some risk modules, there may not be a choice</w:t>
      </w:r>
      <w:r w:rsidR="00393477" w:rsidRPr="00F902B4">
        <w:rPr>
          <w:szCs w:val="24"/>
        </w:rPr>
        <w:t>. For example</w:t>
      </w:r>
      <w:r w:rsidRPr="00F902B4">
        <w:rPr>
          <w:szCs w:val="24"/>
        </w:rPr>
        <w:t xml:space="preserve">, the equity risk module is always calculated on a percentage basis. However, </w:t>
      </w:r>
      <w:r w:rsidR="00393477" w:rsidRPr="00F902B4">
        <w:rPr>
          <w:szCs w:val="24"/>
        </w:rPr>
        <w:t xml:space="preserve">when using </w:t>
      </w:r>
      <w:r w:rsidRPr="00F902B4">
        <w:rPr>
          <w:szCs w:val="24"/>
        </w:rPr>
        <w:t>the interest rate risk module, two choices are available</w:t>
      </w:r>
      <w:r w:rsidR="00393477" w:rsidRPr="00F902B4">
        <w:rPr>
          <w:szCs w:val="24"/>
        </w:rPr>
        <w:t>:</w:t>
      </w:r>
      <w:r w:rsidRPr="00F902B4">
        <w:rPr>
          <w:szCs w:val="24"/>
        </w:rPr>
        <w:t xml:space="preserve"> basis point movements (bps) and MVA changes.</w:t>
      </w:r>
    </w:p>
    <w:p w14:paraId="20F36B24" w14:textId="77777777" w:rsidR="001F1469" w:rsidRPr="001F1469" w:rsidRDefault="001F1469" w:rsidP="00E216F8">
      <w:pPr>
        <w:spacing w:after="0" w:line="276" w:lineRule="auto"/>
        <w:jc w:val="left"/>
        <w:rPr>
          <w:szCs w:val="24"/>
        </w:rPr>
      </w:pPr>
    </w:p>
    <w:p w14:paraId="7EBF15F5" w14:textId="67900070" w:rsidR="00C06282" w:rsidRPr="00F902B4" w:rsidRDefault="001C6F16" w:rsidP="00E216F8">
      <w:pPr>
        <w:pStyle w:val="ListParagraph"/>
        <w:numPr>
          <w:ilvl w:val="0"/>
          <w:numId w:val="9"/>
        </w:numPr>
        <w:spacing w:after="0" w:line="276" w:lineRule="auto"/>
        <w:contextualSpacing w:val="0"/>
        <w:jc w:val="left"/>
        <w:rPr>
          <w:szCs w:val="24"/>
        </w:rPr>
      </w:pPr>
      <w:r w:rsidRPr="00F902B4">
        <w:rPr>
          <w:szCs w:val="24"/>
        </w:rPr>
        <w:t xml:space="preserve">Parameter values. </w:t>
      </w:r>
      <w:r w:rsidR="00393477" w:rsidRPr="00F902B4">
        <w:rPr>
          <w:szCs w:val="24"/>
        </w:rPr>
        <w:t xml:space="preserve">For each calculation type, there may be further values to input (such as </w:t>
      </w:r>
      <w:r w:rsidR="00393477" w:rsidRPr="00D74438">
        <w:rPr>
          <w:szCs w:val="24"/>
        </w:rPr>
        <w:t>weighted average terms).</w:t>
      </w:r>
      <w:r w:rsidR="008271DA">
        <w:rPr>
          <w:szCs w:val="24"/>
        </w:rPr>
        <w:t xml:space="preserve"> </w:t>
      </w:r>
      <w:r w:rsidR="00393477" w:rsidRPr="00D74438">
        <w:rPr>
          <w:szCs w:val="24"/>
        </w:rPr>
        <w:t xml:space="preserve">When </w:t>
      </w:r>
      <w:r w:rsidR="00393477" w:rsidRPr="002A50C2">
        <w:rPr>
          <w:szCs w:val="24"/>
        </w:rPr>
        <w:t xml:space="preserve">input of </w:t>
      </w:r>
      <w:r w:rsidR="00393477" w:rsidRPr="00950E26">
        <w:rPr>
          <w:szCs w:val="24"/>
        </w:rPr>
        <w:t xml:space="preserve">a parameter is required, </w:t>
      </w:r>
      <w:r w:rsidR="008271DA">
        <w:rPr>
          <w:szCs w:val="24"/>
        </w:rPr>
        <w:t>information is displayed beside the input cell indicating the data expected.</w:t>
      </w:r>
    </w:p>
    <w:p w14:paraId="30D75BE3" w14:textId="77777777" w:rsidR="00B4356B" w:rsidRDefault="00B4356B" w:rsidP="00E216F8">
      <w:pPr>
        <w:spacing w:after="0" w:line="276" w:lineRule="auto"/>
        <w:jc w:val="left"/>
        <w:rPr>
          <w:b/>
          <w:bCs/>
          <w:szCs w:val="24"/>
        </w:rPr>
      </w:pPr>
    </w:p>
    <w:p w14:paraId="59787E74" w14:textId="50ECDCD2" w:rsidR="00F856BF" w:rsidRDefault="00F856BF" w:rsidP="00E216F8">
      <w:pPr>
        <w:spacing w:after="0" w:line="276" w:lineRule="auto"/>
        <w:jc w:val="left"/>
        <w:rPr>
          <w:b/>
          <w:bCs/>
          <w:szCs w:val="24"/>
        </w:rPr>
      </w:pPr>
      <w:r w:rsidRPr="00A220B2">
        <w:rPr>
          <w:b/>
          <w:bCs/>
          <w:szCs w:val="24"/>
        </w:rPr>
        <w:t>Results</w:t>
      </w:r>
      <w:r w:rsidR="004A16E0" w:rsidRPr="00A220B2">
        <w:rPr>
          <w:b/>
          <w:bCs/>
          <w:szCs w:val="24"/>
        </w:rPr>
        <w:t xml:space="preserve"> tab </w:t>
      </w:r>
    </w:p>
    <w:p w14:paraId="29E03776" w14:textId="77777777" w:rsidR="00B4356B" w:rsidRPr="00A220B2" w:rsidRDefault="00B4356B" w:rsidP="00E216F8">
      <w:pPr>
        <w:spacing w:after="0" w:line="276" w:lineRule="auto"/>
        <w:jc w:val="left"/>
        <w:rPr>
          <w:b/>
          <w:bCs/>
          <w:szCs w:val="24"/>
        </w:rPr>
      </w:pPr>
    </w:p>
    <w:p w14:paraId="2A7C55BE" w14:textId="1F7CD084" w:rsidR="00F856BF" w:rsidRDefault="001C6F16" w:rsidP="00E216F8">
      <w:pPr>
        <w:spacing w:after="0" w:line="276" w:lineRule="auto"/>
        <w:jc w:val="left"/>
        <w:rPr>
          <w:szCs w:val="24"/>
        </w:rPr>
      </w:pPr>
      <w:r w:rsidRPr="005E210A">
        <w:rPr>
          <w:szCs w:val="24"/>
        </w:rPr>
        <w:t xml:space="preserve">There is only one field where input is required on this tab, the </w:t>
      </w:r>
      <w:r w:rsidR="00966CD0">
        <w:rPr>
          <w:szCs w:val="24"/>
        </w:rPr>
        <w:t>risk percentage</w:t>
      </w:r>
      <w:r w:rsidR="00966CD0" w:rsidRPr="005E210A">
        <w:rPr>
          <w:szCs w:val="24"/>
        </w:rPr>
        <w:t xml:space="preserve"> </w:t>
      </w:r>
      <w:r w:rsidRPr="005E210A">
        <w:rPr>
          <w:szCs w:val="24"/>
        </w:rPr>
        <w:t>level.</w:t>
      </w:r>
      <w:r w:rsidR="00393477" w:rsidRPr="005E210A">
        <w:rPr>
          <w:szCs w:val="24"/>
        </w:rPr>
        <w:t xml:space="preserve">  </w:t>
      </w:r>
    </w:p>
    <w:p w14:paraId="6DE7E183" w14:textId="77777777" w:rsidR="00B4356B" w:rsidRPr="005E210A" w:rsidRDefault="00B4356B" w:rsidP="00E216F8">
      <w:pPr>
        <w:spacing w:after="0" w:line="276" w:lineRule="auto"/>
        <w:jc w:val="left"/>
        <w:rPr>
          <w:szCs w:val="24"/>
        </w:rPr>
      </w:pPr>
    </w:p>
    <w:p w14:paraId="0A8FA678" w14:textId="1A9AC978" w:rsidR="00730FB7" w:rsidRDefault="00A220B2" w:rsidP="00D037F1">
      <w:pPr>
        <w:pStyle w:val="Heading4"/>
      </w:pPr>
      <w:bookmarkStart w:id="11" w:name="_Toc87976285"/>
      <w:r>
        <w:t>Notes on specific issues</w:t>
      </w:r>
      <w:bookmarkEnd w:id="11"/>
    </w:p>
    <w:p w14:paraId="4F551368" w14:textId="515A49A9" w:rsidR="00520BB4" w:rsidRDefault="002A50C2" w:rsidP="00E216F8">
      <w:pPr>
        <w:pStyle w:val="ListParagraph"/>
        <w:numPr>
          <w:ilvl w:val="0"/>
          <w:numId w:val="13"/>
        </w:numPr>
        <w:spacing w:after="0" w:line="276" w:lineRule="auto"/>
        <w:ind w:left="714" w:hanging="357"/>
        <w:contextualSpacing w:val="0"/>
        <w:jc w:val="left"/>
        <w:rPr>
          <w:szCs w:val="24"/>
        </w:rPr>
      </w:pPr>
      <w:r w:rsidRPr="00136A37">
        <w:rPr>
          <w:szCs w:val="24"/>
        </w:rPr>
        <w:t xml:space="preserve">Schemes </w:t>
      </w:r>
      <w:r w:rsidR="007D3F2D">
        <w:rPr>
          <w:szCs w:val="24"/>
        </w:rPr>
        <w:t>on</w:t>
      </w:r>
      <w:r w:rsidRPr="00136A37">
        <w:rPr>
          <w:szCs w:val="24"/>
        </w:rPr>
        <w:t xml:space="preserve"> a funding proposal: </w:t>
      </w:r>
      <w:r w:rsidR="004B7BEB" w:rsidRPr="00136A37">
        <w:rPr>
          <w:szCs w:val="24"/>
        </w:rPr>
        <w:t>i</w:t>
      </w:r>
      <w:r w:rsidR="008271DA" w:rsidRPr="00136A37">
        <w:rPr>
          <w:szCs w:val="24"/>
        </w:rPr>
        <w:t>n</w:t>
      </w:r>
      <w:r w:rsidRPr="00136A37">
        <w:rPr>
          <w:szCs w:val="24"/>
        </w:rPr>
        <w:t xml:space="preserve"> the </w:t>
      </w:r>
      <w:r w:rsidR="001F1469">
        <w:rPr>
          <w:szCs w:val="24"/>
        </w:rPr>
        <w:t>‘</w:t>
      </w:r>
      <w:r w:rsidRPr="00136A37">
        <w:rPr>
          <w:szCs w:val="24"/>
        </w:rPr>
        <w:t>Balance</w:t>
      </w:r>
      <w:r w:rsidR="008271DA" w:rsidRPr="00136A37">
        <w:rPr>
          <w:szCs w:val="24"/>
        </w:rPr>
        <w:t xml:space="preserve"> </w:t>
      </w:r>
      <w:r w:rsidRPr="00136A37">
        <w:rPr>
          <w:szCs w:val="24"/>
        </w:rPr>
        <w:t>sheet</w:t>
      </w:r>
      <w:r w:rsidR="001F1469">
        <w:rPr>
          <w:szCs w:val="24"/>
        </w:rPr>
        <w:t>’</w:t>
      </w:r>
      <w:r w:rsidRPr="00136A37">
        <w:rPr>
          <w:szCs w:val="24"/>
        </w:rPr>
        <w:t xml:space="preserve"> tab, the practitioner </w:t>
      </w:r>
      <w:r w:rsidR="00F4581C" w:rsidRPr="00136A37">
        <w:rPr>
          <w:szCs w:val="24"/>
        </w:rPr>
        <w:t xml:space="preserve">will </w:t>
      </w:r>
      <w:r w:rsidR="00950E26" w:rsidRPr="00136A37">
        <w:rPr>
          <w:szCs w:val="24"/>
        </w:rPr>
        <w:t xml:space="preserve">note just one item, an </w:t>
      </w:r>
      <w:r w:rsidR="003C7352" w:rsidRPr="00136A37">
        <w:rPr>
          <w:szCs w:val="24"/>
        </w:rPr>
        <w:t>amount</w:t>
      </w:r>
      <w:r w:rsidR="00950E26" w:rsidRPr="00136A37">
        <w:rPr>
          <w:szCs w:val="24"/>
        </w:rPr>
        <w:t xml:space="preserve"> equal to the excess of assets over the minimum </w:t>
      </w:r>
      <w:r w:rsidR="00950E26" w:rsidRPr="00136A37">
        <w:rPr>
          <w:szCs w:val="24"/>
        </w:rPr>
        <w:lastRenderedPageBreak/>
        <w:t>required for the funding proposal to remain on track. The Shocks tab will be completed in the usual way, i.e., including the financial risks arising from the actual assets and liabilities.</w:t>
      </w:r>
    </w:p>
    <w:p w14:paraId="5C6999E6" w14:textId="77777777" w:rsidR="001F1469" w:rsidRPr="00136A37" w:rsidRDefault="001F1469" w:rsidP="00E216F8">
      <w:pPr>
        <w:pStyle w:val="ListParagraph"/>
        <w:spacing w:after="0" w:line="276" w:lineRule="auto"/>
        <w:ind w:left="714"/>
        <w:contextualSpacing w:val="0"/>
        <w:jc w:val="left"/>
        <w:rPr>
          <w:szCs w:val="24"/>
        </w:rPr>
      </w:pPr>
    </w:p>
    <w:p w14:paraId="36BC6C20" w14:textId="0CDC7330" w:rsidR="003C7352" w:rsidRDefault="003C7352" w:rsidP="00E216F8">
      <w:pPr>
        <w:pStyle w:val="ListParagraph"/>
        <w:numPr>
          <w:ilvl w:val="0"/>
          <w:numId w:val="13"/>
        </w:numPr>
        <w:spacing w:after="0" w:line="276" w:lineRule="auto"/>
        <w:ind w:left="714" w:hanging="357"/>
        <w:contextualSpacing w:val="0"/>
        <w:jc w:val="left"/>
      </w:pPr>
      <w:r w:rsidRPr="00136A37">
        <w:t>As the objective of the measure is to assign the scheme to one of a limited choice of stress levels, the Authority does not expect accuracy beyond what is required to achieve this.</w:t>
      </w:r>
    </w:p>
    <w:p w14:paraId="003BAA58" w14:textId="77777777" w:rsidR="001F1469" w:rsidRPr="00136A37" w:rsidRDefault="001F1469" w:rsidP="00E216F8">
      <w:pPr>
        <w:pStyle w:val="ListParagraph"/>
        <w:spacing w:after="0" w:line="276" w:lineRule="auto"/>
        <w:ind w:left="714"/>
        <w:contextualSpacing w:val="0"/>
        <w:jc w:val="left"/>
      </w:pPr>
    </w:p>
    <w:p w14:paraId="79B98264" w14:textId="5C2EBB3A" w:rsidR="00E66B49" w:rsidRDefault="00C8655B" w:rsidP="00E216F8">
      <w:pPr>
        <w:pStyle w:val="ListParagraph"/>
        <w:numPr>
          <w:ilvl w:val="0"/>
          <w:numId w:val="13"/>
        </w:numPr>
        <w:spacing w:after="0" w:line="276" w:lineRule="auto"/>
        <w:ind w:left="714" w:hanging="357"/>
        <w:contextualSpacing w:val="0"/>
        <w:jc w:val="left"/>
      </w:pPr>
      <w:r w:rsidRPr="00136A37">
        <w:t xml:space="preserve">For multi-asset funds, a look-through approach covering as much of the holding as possible </w:t>
      </w:r>
      <w:r w:rsidR="00F415C5" w:rsidRPr="00136A37">
        <w:t>is</w:t>
      </w:r>
      <w:r w:rsidRPr="00136A37">
        <w:t xml:space="preserve"> preferable, in order not to under</w:t>
      </w:r>
      <w:r w:rsidR="00865DBC" w:rsidRPr="00136A37">
        <w:t>state</w:t>
      </w:r>
      <w:r w:rsidRPr="00136A37">
        <w:t xml:space="preserve"> or overstate the risk</w:t>
      </w:r>
      <w:r w:rsidR="00E66B49" w:rsidRPr="00136A37">
        <w:t xml:space="preserve"> significantly</w:t>
      </w:r>
      <w:r w:rsidRPr="00136A37">
        <w:t xml:space="preserve">.  </w:t>
      </w:r>
    </w:p>
    <w:p w14:paraId="07D18B5F" w14:textId="77777777" w:rsidR="001F1469" w:rsidRPr="00136A37" w:rsidRDefault="001F1469" w:rsidP="00E216F8">
      <w:pPr>
        <w:pStyle w:val="ListParagraph"/>
        <w:spacing w:after="0" w:line="276" w:lineRule="auto"/>
        <w:ind w:left="714"/>
        <w:contextualSpacing w:val="0"/>
        <w:jc w:val="left"/>
      </w:pPr>
    </w:p>
    <w:p w14:paraId="267DE7B1" w14:textId="456147BD" w:rsidR="00E66B49" w:rsidRDefault="008271DA" w:rsidP="00E216F8">
      <w:pPr>
        <w:pStyle w:val="ListParagraph"/>
        <w:numPr>
          <w:ilvl w:val="0"/>
          <w:numId w:val="13"/>
        </w:numPr>
        <w:spacing w:after="0" w:line="276" w:lineRule="auto"/>
        <w:ind w:left="714" w:hanging="357"/>
        <w:contextualSpacing w:val="0"/>
        <w:jc w:val="left"/>
      </w:pPr>
      <w:r w:rsidRPr="00136A37">
        <w:t>S</w:t>
      </w:r>
      <w:r w:rsidR="00C8655B" w:rsidRPr="00136A37">
        <w:t>econd-order or passage</w:t>
      </w:r>
      <w:r w:rsidR="00865DBC" w:rsidRPr="00136A37">
        <w:t>-</w:t>
      </w:r>
      <w:r w:rsidR="00C8655B" w:rsidRPr="00136A37">
        <w:t>of</w:t>
      </w:r>
      <w:r w:rsidR="00865DBC" w:rsidRPr="00136A37">
        <w:t>-</w:t>
      </w:r>
      <w:r w:rsidR="00C8655B" w:rsidRPr="00136A37">
        <w:t>time effects are not considered</w:t>
      </w:r>
      <w:r w:rsidR="00865DBC" w:rsidRPr="00136A37">
        <w:t>.</w:t>
      </w:r>
      <w:r w:rsidR="00C8655B" w:rsidRPr="00136A37">
        <w:t xml:space="preserve">, e.g., </w:t>
      </w:r>
      <w:r w:rsidR="00865DBC" w:rsidRPr="00136A37">
        <w:t xml:space="preserve">there is no need </w:t>
      </w:r>
      <w:r w:rsidR="00C06282" w:rsidRPr="00136A37">
        <w:t>to recalculate</w:t>
      </w:r>
      <w:r w:rsidR="00C8655B" w:rsidRPr="00136A37">
        <w:t xml:space="preserve"> </w:t>
      </w:r>
      <w:r w:rsidR="00865DBC" w:rsidRPr="00136A37">
        <w:t xml:space="preserve">a </w:t>
      </w:r>
      <w:r w:rsidR="00C8655B" w:rsidRPr="00136A37">
        <w:t>post-stress funding standard reserve, or the passage</w:t>
      </w:r>
      <w:r w:rsidR="006454E5" w:rsidRPr="00136A37">
        <w:t>-</w:t>
      </w:r>
      <w:r w:rsidR="00C8655B" w:rsidRPr="00136A37">
        <w:t>of</w:t>
      </w:r>
      <w:r w:rsidR="006454E5" w:rsidRPr="00136A37">
        <w:t>-</w:t>
      </w:r>
      <w:r w:rsidR="00C8655B" w:rsidRPr="00136A37">
        <w:t xml:space="preserve">time </w:t>
      </w:r>
      <w:r w:rsidR="006454E5" w:rsidRPr="00136A37">
        <w:t xml:space="preserve">effect </w:t>
      </w:r>
      <w:r w:rsidR="00C8655B" w:rsidRPr="00136A37">
        <w:t>on liability calculations.</w:t>
      </w:r>
    </w:p>
    <w:p w14:paraId="400A0A02" w14:textId="77777777" w:rsidR="001F1469" w:rsidRPr="00136A37" w:rsidRDefault="001F1469" w:rsidP="00E216F8">
      <w:pPr>
        <w:pStyle w:val="ListParagraph"/>
        <w:spacing w:after="0" w:line="276" w:lineRule="auto"/>
        <w:ind w:left="714"/>
        <w:contextualSpacing w:val="0"/>
        <w:jc w:val="left"/>
      </w:pPr>
    </w:p>
    <w:p w14:paraId="469DA2A4" w14:textId="00008525" w:rsidR="00416001" w:rsidRDefault="00C8655B" w:rsidP="00E216F8">
      <w:pPr>
        <w:pStyle w:val="ListParagraph"/>
        <w:numPr>
          <w:ilvl w:val="0"/>
          <w:numId w:val="13"/>
        </w:numPr>
        <w:spacing w:after="0" w:line="276" w:lineRule="auto"/>
        <w:ind w:left="714" w:hanging="357"/>
        <w:contextualSpacing w:val="0"/>
        <w:jc w:val="left"/>
      </w:pPr>
      <w:r w:rsidRPr="00136A37">
        <w:t>Fixed income assets without a credit rating should be assigned a credit quality step appropriate to their yield.</w:t>
      </w:r>
    </w:p>
    <w:p w14:paraId="2F009BAF" w14:textId="77777777" w:rsidR="001F1469" w:rsidRPr="00136A37" w:rsidRDefault="001F1469" w:rsidP="00E216F8">
      <w:pPr>
        <w:pStyle w:val="ListParagraph"/>
        <w:spacing w:after="0" w:line="276" w:lineRule="auto"/>
        <w:ind w:left="714"/>
        <w:contextualSpacing w:val="0"/>
        <w:jc w:val="left"/>
      </w:pPr>
    </w:p>
    <w:p w14:paraId="18961AD9" w14:textId="5EF9DC98" w:rsidR="00C14CE1" w:rsidRPr="00136A37" w:rsidRDefault="00C14CE1" w:rsidP="00E216F8">
      <w:pPr>
        <w:pStyle w:val="ListParagraph"/>
        <w:numPr>
          <w:ilvl w:val="0"/>
          <w:numId w:val="13"/>
        </w:numPr>
        <w:spacing w:after="0" w:line="276" w:lineRule="auto"/>
        <w:ind w:left="714" w:hanging="357"/>
        <w:contextualSpacing w:val="0"/>
        <w:jc w:val="left"/>
      </w:pPr>
      <w:r w:rsidRPr="00136A37">
        <w:t xml:space="preserve">If </w:t>
      </w:r>
      <w:r w:rsidR="00A32B49" w:rsidRPr="00136A37">
        <w:t xml:space="preserve">the practitioner is </w:t>
      </w:r>
      <w:r w:rsidRPr="00136A37">
        <w:t>in doubt about the appropriate risk modules to apply to a material aspect of the scheme’s finances, the practitioner should apply a risk module or combination of risk modules that would approximate the risk.</w:t>
      </w:r>
    </w:p>
    <w:p w14:paraId="0755C202" w14:textId="77777777" w:rsidR="001F1469" w:rsidRDefault="001F1469" w:rsidP="00E216F8">
      <w:pPr>
        <w:spacing w:after="0" w:line="276" w:lineRule="auto"/>
        <w:jc w:val="left"/>
      </w:pPr>
    </w:p>
    <w:p w14:paraId="72CC28A8" w14:textId="43E3703E" w:rsidR="00E66B49" w:rsidRPr="00136A37" w:rsidRDefault="00E66B49" w:rsidP="00E216F8">
      <w:pPr>
        <w:spacing w:after="0" w:line="276" w:lineRule="auto"/>
        <w:jc w:val="left"/>
        <w:rPr>
          <w:b/>
          <w:bCs/>
        </w:rPr>
      </w:pPr>
      <w:r w:rsidRPr="00136A37">
        <w:t xml:space="preserve">If further information is required, please email </w:t>
      </w:r>
      <w:hyperlink r:id="rId13" w:history="1">
        <w:r w:rsidRPr="00136A37">
          <w:rPr>
            <w:rStyle w:val="Hyperlink"/>
            <w:szCs w:val="24"/>
          </w:rPr>
          <w:t>info@pensionsauthority.ie</w:t>
        </w:r>
      </w:hyperlink>
      <w:r w:rsidRPr="00136A37">
        <w:t>.</w:t>
      </w:r>
    </w:p>
    <w:p w14:paraId="54284B21" w14:textId="77777777" w:rsidR="00E66B49" w:rsidRDefault="00E66B49" w:rsidP="00E216F8">
      <w:pPr>
        <w:spacing w:after="0" w:line="276" w:lineRule="auto"/>
        <w:jc w:val="left"/>
        <w:rPr>
          <w:b/>
          <w:bCs/>
          <w:sz w:val="20"/>
          <w:szCs w:val="20"/>
        </w:rPr>
      </w:pPr>
    </w:p>
    <w:sectPr w:rsidR="00E66B49" w:rsidSect="00CE6E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3C792" w14:textId="77777777" w:rsidR="00457607" w:rsidRDefault="00457607" w:rsidP="00EA1A68">
      <w:pPr>
        <w:spacing w:after="0"/>
      </w:pPr>
      <w:r>
        <w:separator/>
      </w:r>
    </w:p>
  </w:endnote>
  <w:endnote w:type="continuationSeparator" w:id="0">
    <w:p w14:paraId="250B84D5" w14:textId="77777777" w:rsidR="00457607" w:rsidRDefault="00457607" w:rsidP="00EA1A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73911925"/>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A6A54AA" w14:textId="77777777" w:rsidR="001250A4" w:rsidRPr="00683589" w:rsidRDefault="001250A4">
            <w:pPr>
              <w:pStyle w:val="Footer"/>
              <w:jc w:val="center"/>
              <w:rPr>
                <w:sz w:val="20"/>
                <w:szCs w:val="20"/>
              </w:rPr>
            </w:pPr>
            <w:r w:rsidRPr="00683589">
              <w:rPr>
                <w:sz w:val="20"/>
                <w:szCs w:val="20"/>
              </w:rPr>
              <w:t xml:space="preserve">Page </w:t>
            </w:r>
            <w:r w:rsidRPr="00683589">
              <w:rPr>
                <w:b/>
                <w:bCs/>
                <w:sz w:val="20"/>
                <w:szCs w:val="20"/>
              </w:rPr>
              <w:fldChar w:fldCharType="begin"/>
            </w:r>
            <w:r w:rsidRPr="00683589">
              <w:rPr>
                <w:b/>
                <w:bCs/>
                <w:sz w:val="20"/>
                <w:szCs w:val="20"/>
              </w:rPr>
              <w:instrText xml:space="preserve"> PAGE </w:instrText>
            </w:r>
            <w:r w:rsidRPr="00683589">
              <w:rPr>
                <w:b/>
                <w:bCs/>
                <w:sz w:val="20"/>
                <w:szCs w:val="20"/>
              </w:rPr>
              <w:fldChar w:fldCharType="separate"/>
            </w:r>
            <w:r w:rsidR="00D86834">
              <w:rPr>
                <w:b/>
                <w:bCs/>
                <w:noProof/>
                <w:sz w:val="20"/>
                <w:szCs w:val="20"/>
              </w:rPr>
              <w:t>1</w:t>
            </w:r>
            <w:r w:rsidRPr="00683589">
              <w:rPr>
                <w:b/>
                <w:bCs/>
                <w:sz w:val="20"/>
                <w:szCs w:val="20"/>
              </w:rPr>
              <w:fldChar w:fldCharType="end"/>
            </w:r>
            <w:r w:rsidRPr="00683589">
              <w:rPr>
                <w:sz w:val="20"/>
                <w:szCs w:val="20"/>
              </w:rPr>
              <w:t xml:space="preserve"> of </w:t>
            </w:r>
            <w:r w:rsidRPr="00683589">
              <w:rPr>
                <w:b/>
                <w:bCs/>
                <w:sz w:val="20"/>
                <w:szCs w:val="20"/>
              </w:rPr>
              <w:fldChar w:fldCharType="begin"/>
            </w:r>
            <w:r w:rsidRPr="00683589">
              <w:rPr>
                <w:b/>
                <w:bCs/>
                <w:sz w:val="20"/>
                <w:szCs w:val="20"/>
              </w:rPr>
              <w:instrText xml:space="preserve"> NUMPAGES  </w:instrText>
            </w:r>
            <w:r w:rsidRPr="00683589">
              <w:rPr>
                <w:b/>
                <w:bCs/>
                <w:sz w:val="20"/>
                <w:szCs w:val="20"/>
              </w:rPr>
              <w:fldChar w:fldCharType="separate"/>
            </w:r>
            <w:r w:rsidR="00D86834">
              <w:rPr>
                <w:b/>
                <w:bCs/>
                <w:noProof/>
                <w:sz w:val="20"/>
                <w:szCs w:val="20"/>
              </w:rPr>
              <w:t>2</w:t>
            </w:r>
            <w:r w:rsidRPr="00683589">
              <w:rPr>
                <w:b/>
                <w:bCs/>
                <w:sz w:val="20"/>
                <w:szCs w:val="20"/>
              </w:rPr>
              <w:fldChar w:fldCharType="end"/>
            </w:r>
          </w:p>
        </w:sdtContent>
      </w:sdt>
    </w:sdtContent>
  </w:sdt>
  <w:p w14:paraId="2C3EB3DC" w14:textId="77777777" w:rsidR="001250A4" w:rsidRDefault="001250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821DE" w14:textId="690C6D8C" w:rsidR="005C1983" w:rsidRPr="005C1983" w:rsidRDefault="005C1983" w:rsidP="005C1983">
    <w:pPr>
      <w:pStyle w:val="Footer"/>
      <w:jc w:val="right"/>
      <w:rPr>
        <w:sz w:val="20"/>
        <w:szCs w:val="20"/>
      </w:rPr>
    </w:pPr>
    <w:r w:rsidRPr="005C1983">
      <w:rPr>
        <w:sz w:val="20"/>
        <w:szCs w:val="20"/>
      </w:rPr>
      <w:t xml:space="preserve">Date published: </w:t>
    </w:r>
    <w:r>
      <w:rPr>
        <w:sz w:val="20"/>
        <w:szCs w:val="20"/>
      </w:rPr>
      <w:t>November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94482" w14:textId="77777777" w:rsidR="00457607" w:rsidRDefault="00457607" w:rsidP="00EA1A68">
      <w:pPr>
        <w:spacing w:after="0"/>
      </w:pPr>
      <w:r>
        <w:separator/>
      </w:r>
    </w:p>
  </w:footnote>
  <w:footnote w:type="continuationSeparator" w:id="0">
    <w:p w14:paraId="5CAC3D3B" w14:textId="77777777" w:rsidR="00457607" w:rsidRDefault="00457607" w:rsidP="00EA1A68">
      <w:pPr>
        <w:spacing w:after="0"/>
      </w:pPr>
      <w:r>
        <w:continuationSeparator/>
      </w:r>
    </w:p>
  </w:footnote>
  <w:footnote w:id="1">
    <w:p w14:paraId="786E8595" w14:textId="09519325" w:rsidR="00D65D34" w:rsidRPr="00621FDC" w:rsidRDefault="00E76688" w:rsidP="00621FDC">
      <w:pPr>
        <w:spacing w:after="0"/>
        <w:rPr>
          <w:rFonts w:cs="Arial"/>
          <w:sz w:val="20"/>
          <w:szCs w:val="20"/>
        </w:rPr>
      </w:pPr>
      <w:r w:rsidRPr="00621FDC">
        <w:rPr>
          <w:rStyle w:val="FootnoteReference"/>
          <w:sz w:val="20"/>
          <w:szCs w:val="20"/>
        </w:rPr>
        <w:footnoteRef/>
      </w:r>
      <w:r w:rsidRPr="00621FDC">
        <w:rPr>
          <w:sz w:val="20"/>
          <w:szCs w:val="20"/>
        </w:rPr>
        <w:t xml:space="preserve"> </w:t>
      </w:r>
      <w:hyperlink r:id="rId1" w:history="1">
        <w:r w:rsidR="00621FDC" w:rsidRPr="00621FDC">
          <w:rPr>
            <w:rStyle w:val="Hyperlink"/>
            <w:sz w:val="20"/>
            <w:szCs w:val="20"/>
          </w:rPr>
          <w:t>Defined benefit financial risk measure</w:t>
        </w:r>
      </w:hyperlink>
    </w:p>
    <w:p w14:paraId="60361172" w14:textId="4E50BCB2" w:rsidR="00E76688" w:rsidRPr="00BE5DE7" w:rsidRDefault="00E76688">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BC6D2" w14:textId="21981CBD" w:rsidR="001250A4" w:rsidRDefault="001250A4" w:rsidP="00F36BAE">
    <w:pPr>
      <w:pStyle w:val="Header"/>
      <w:jc w:val="center"/>
    </w:pPr>
    <w:r>
      <w:rPr>
        <w:noProof/>
        <w:lang w:val="en-IE" w:eastAsia="en-IE"/>
      </w:rPr>
      <w:drawing>
        <wp:inline distT="0" distB="0" distL="0" distR="0" wp14:anchorId="05C088DF" wp14:editId="464F9699">
          <wp:extent cx="1618488" cy="539496"/>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PA-Logo2013-CMYK-CS4-45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8488" cy="539496"/>
                  </a:xfrm>
                  <a:prstGeom prst="rect">
                    <a:avLst/>
                  </a:prstGeom>
                </pic:spPr>
              </pic:pic>
            </a:graphicData>
          </a:graphic>
        </wp:inline>
      </w:drawing>
    </w:r>
  </w:p>
  <w:p w14:paraId="6393459E" w14:textId="77777777" w:rsidR="00737ED0" w:rsidRDefault="00737ED0" w:rsidP="00F36BA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EBDD8" w14:textId="4FC868F3" w:rsidR="005C1983" w:rsidRDefault="005C1983" w:rsidP="005C1983">
    <w:pPr>
      <w:pStyle w:val="Header"/>
      <w:jc w:val="center"/>
    </w:pPr>
    <w:r>
      <w:rPr>
        <w:noProof/>
        <w:lang w:val="en-IE" w:eastAsia="en-IE"/>
      </w:rPr>
      <w:drawing>
        <wp:inline distT="0" distB="0" distL="0" distR="0" wp14:anchorId="566F1927" wp14:editId="7F24D610">
          <wp:extent cx="1618488" cy="539496"/>
          <wp:effectExtent l="0" t="0" r="1270" b="0"/>
          <wp:docPr id="4" name="Picture 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8488" cy="5394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25C9"/>
    <w:multiLevelType w:val="hybridMultilevel"/>
    <w:tmpl w:val="8F402112"/>
    <w:lvl w:ilvl="0" w:tplc="EA369EB2">
      <w:start w:val="1"/>
      <w:numFmt w:val="decimal"/>
      <w:pStyle w:val="Heading3"/>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8282A2E"/>
    <w:multiLevelType w:val="hybridMultilevel"/>
    <w:tmpl w:val="E962F8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D91155"/>
    <w:multiLevelType w:val="hybridMultilevel"/>
    <w:tmpl w:val="FC4A53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E155C5F"/>
    <w:multiLevelType w:val="multilevel"/>
    <w:tmpl w:val="CBA6188E"/>
    <w:lvl w:ilvl="0">
      <w:start w:val="1"/>
      <w:numFmt w:val="decimal"/>
      <w:lvlText w:val="%1."/>
      <w:lvlJc w:val="left"/>
      <w:pPr>
        <w:ind w:left="360" w:hanging="360"/>
      </w:pPr>
      <w:rPr>
        <w:rFonts w:hint="default"/>
        <w:color w:val="auto"/>
        <w:sz w:val="32"/>
      </w:rPr>
    </w:lvl>
    <w:lvl w:ilvl="1">
      <w:start w:val="1"/>
      <w:numFmt w:val="decimal"/>
      <w:pStyle w:val="Heading4"/>
      <w:lvlText w:val="%1.%2"/>
      <w:lvlJc w:val="left"/>
      <w:pPr>
        <w:ind w:left="0" w:firstLine="0"/>
      </w:pPr>
      <w:rPr>
        <w:rFonts w:hint="default"/>
      </w:rPr>
    </w:lvl>
    <w:lvl w:ilvl="2">
      <w:start w:val="1"/>
      <w:numFmt w:val="decimal"/>
      <w:lvlText w:val="%3."/>
      <w:lvlJc w:val="left"/>
      <w:pPr>
        <w:ind w:left="502" w:hanging="36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33A3BCD"/>
    <w:multiLevelType w:val="multilevel"/>
    <w:tmpl w:val="18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15:restartNumberingAfterBreak="0">
    <w:nsid w:val="1929743F"/>
    <w:multiLevelType w:val="hybridMultilevel"/>
    <w:tmpl w:val="E91443E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43D73ED"/>
    <w:multiLevelType w:val="multilevel"/>
    <w:tmpl w:val="16D2E40C"/>
    <w:lvl w:ilvl="0">
      <w:start w:val="1"/>
      <w:numFmt w:val="bullet"/>
      <w:lvlText w:val=""/>
      <w:lvlJc w:val="left"/>
      <w:pPr>
        <w:ind w:left="0" w:firstLine="0"/>
      </w:pPr>
      <w:rPr>
        <w:rFonts w:ascii="Symbol" w:hAnsi="Symbol" w:hint="default"/>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25F9799A"/>
    <w:multiLevelType w:val="hybridMultilevel"/>
    <w:tmpl w:val="C9A8BD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CE763B7"/>
    <w:multiLevelType w:val="hybridMultilevel"/>
    <w:tmpl w:val="74044618"/>
    <w:lvl w:ilvl="0" w:tplc="941442CE">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FB56077"/>
    <w:multiLevelType w:val="multilevel"/>
    <w:tmpl w:val="C80875E8"/>
    <w:lvl w:ilvl="0">
      <w:start w:val="1"/>
      <w:numFmt w:val="decimal"/>
      <w:lvlText w:val="%1."/>
      <w:lvlJc w:val="left"/>
      <w:pPr>
        <w:ind w:left="360" w:hanging="360"/>
      </w:pPr>
      <w:rPr>
        <w:rFonts w:hint="default"/>
        <w:color w:val="auto"/>
        <w:sz w:val="32"/>
      </w:rPr>
    </w:lvl>
    <w:lvl w:ilvl="1">
      <w:start w:val="1"/>
      <w:numFmt w:val="decimal"/>
      <w:lvlText w:val="%1.%2"/>
      <w:lvlJc w:val="left"/>
      <w:pPr>
        <w:ind w:left="0" w:firstLine="0"/>
      </w:pPr>
      <w:rPr>
        <w:rFonts w:hint="default"/>
      </w:rPr>
    </w:lvl>
    <w:lvl w:ilvl="2">
      <w:start w:val="1"/>
      <w:numFmt w:val="decimal"/>
      <w:lvlText w:val="%3."/>
      <w:lvlJc w:val="left"/>
      <w:pPr>
        <w:ind w:left="360" w:hanging="36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2E65A32"/>
    <w:multiLevelType w:val="hybridMultilevel"/>
    <w:tmpl w:val="EEF832C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39900EFB"/>
    <w:multiLevelType w:val="hybridMultilevel"/>
    <w:tmpl w:val="ED92943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3F724650"/>
    <w:multiLevelType w:val="hybridMultilevel"/>
    <w:tmpl w:val="4D8C6286"/>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2351D08"/>
    <w:multiLevelType w:val="hybridMultilevel"/>
    <w:tmpl w:val="D20E091E"/>
    <w:lvl w:ilvl="0" w:tplc="A8F8E1A4">
      <w:start w:val="1"/>
      <w:numFmt w:val="decimal"/>
      <w:lvlText w:val="%1."/>
      <w:lvlJc w:val="left"/>
      <w:pPr>
        <w:ind w:left="2705" w:hanging="360"/>
      </w:pPr>
    </w:lvl>
    <w:lvl w:ilvl="1" w:tplc="18090019" w:tentative="1">
      <w:start w:val="1"/>
      <w:numFmt w:val="lowerLetter"/>
      <w:lvlText w:val="%2."/>
      <w:lvlJc w:val="left"/>
      <w:pPr>
        <w:ind w:left="3425" w:hanging="360"/>
      </w:pPr>
    </w:lvl>
    <w:lvl w:ilvl="2" w:tplc="1809001B" w:tentative="1">
      <w:start w:val="1"/>
      <w:numFmt w:val="lowerRoman"/>
      <w:lvlText w:val="%3."/>
      <w:lvlJc w:val="right"/>
      <w:pPr>
        <w:ind w:left="4145" w:hanging="180"/>
      </w:pPr>
    </w:lvl>
    <w:lvl w:ilvl="3" w:tplc="1809000F" w:tentative="1">
      <w:start w:val="1"/>
      <w:numFmt w:val="decimal"/>
      <w:lvlText w:val="%4."/>
      <w:lvlJc w:val="left"/>
      <w:pPr>
        <w:ind w:left="4865" w:hanging="360"/>
      </w:pPr>
    </w:lvl>
    <w:lvl w:ilvl="4" w:tplc="18090019" w:tentative="1">
      <w:start w:val="1"/>
      <w:numFmt w:val="lowerLetter"/>
      <w:lvlText w:val="%5."/>
      <w:lvlJc w:val="left"/>
      <w:pPr>
        <w:ind w:left="5585" w:hanging="360"/>
      </w:pPr>
    </w:lvl>
    <w:lvl w:ilvl="5" w:tplc="1809001B" w:tentative="1">
      <w:start w:val="1"/>
      <w:numFmt w:val="lowerRoman"/>
      <w:lvlText w:val="%6."/>
      <w:lvlJc w:val="right"/>
      <w:pPr>
        <w:ind w:left="6305" w:hanging="180"/>
      </w:pPr>
    </w:lvl>
    <w:lvl w:ilvl="6" w:tplc="1809000F" w:tentative="1">
      <w:start w:val="1"/>
      <w:numFmt w:val="decimal"/>
      <w:lvlText w:val="%7."/>
      <w:lvlJc w:val="left"/>
      <w:pPr>
        <w:ind w:left="7025" w:hanging="360"/>
      </w:pPr>
    </w:lvl>
    <w:lvl w:ilvl="7" w:tplc="18090019" w:tentative="1">
      <w:start w:val="1"/>
      <w:numFmt w:val="lowerLetter"/>
      <w:lvlText w:val="%8."/>
      <w:lvlJc w:val="left"/>
      <w:pPr>
        <w:ind w:left="7745" w:hanging="360"/>
      </w:pPr>
    </w:lvl>
    <w:lvl w:ilvl="8" w:tplc="1809001B" w:tentative="1">
      <w:start w:val="1"/>
      <w:numFmt w:val="lowerRoman"/>
      <w:lvlText w:val="%9."/>
      <w:lvlJc w:val="right"/>
      <w:pPr>
        <w:ind w:left="8465" w:hanging="180"/>
      </w:pPr>
    </w:lvl>
  </w:abstractNum>
  <w:abstractNum w:abstractNumId="14" w15:restartNumberingAfterBreak="0">
    <w:nsid w:val="4BE561AC"/>
    <w:multiLevelType w:val="hybridMultilevel"/>
    <w:tmpl w:val="C6DEE654"/>
    <w:lvl w:ilvl="0" w:tplc="606ED242">
      <w:start w:val="99"/>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0F92482"/>
    <w:multiLevelType w:val="hybridMultilevel"/>
    <w:tmpl w:val="77742B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8687170"/>
    <w:multiLevelType w:val="hybridMultilevel"/>
    <w:tmpl w:val="8FC0230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F6F16B5"/>
    <w:multiLevelType w:val="multilevel"/>
    <w:tmpl w:val="973A2208"/>
    <w:lvl w:ilvl="0">
      <w:start w:val="1"/>
      <w:numFmt w:val="decimal"/>
      <w:pStyle w:val="Heading1"/>
      <w:lvlText w:val="%1."/>
      <w:lvlJc w:val="left"/>
      <w:pPr>
        <w:ind w:left="360" w:hanging="360"/>
      </w:pPr>
      <w:rPr>
        <w:color w:val="auto"/>
        <w:sz w:val="32"/>
      </w:rPr>
    </w:lvl>
    <w:lvl w:ilvl="1">
      <w:start w:val="1"/>
      <w:numFmt w:val="decimal"/>
      <w:pStyle w:val="Heading2"/>
      <w:lvlText w:val="%1.%2"/>
      <w:lvlJc w:val="left"/>
      <w:pPr>
        <w:ind w:left="2419"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924069066">
    <w:abstractNumId w:val="17"/>
  </w:num>
  <w:num w:numId="2" w16cid:durableId="2059890370">
    <w:abstractNumId w:val="11"/>
  </w:num>
  <w:num w:numId="3" w16cid:durableId="828593451">
    <w:abstractNumId w:val="12"/>
  </w:num>
  <w:num w:numId="4" w16cid:durableId="213078619">
    <w:abstractNumId w:val="14"/>
  </w:num>
  <w:num w:numId="5" w16cid:durableId="1735355158">
    <w:abstractNumId w:val="15"/>
  </w:num>
  <w:num w:numId="6" w16cid:durableId="1960916376">
    <w:abstractNumId w:val="5"/>
  </w:num>
  <w:num w:numId="7" w16cid:durableId="1121805946">
    <w:abstractNumId w:val="1"/>
  </w:num>
  <w:num w:numId="8" w16cid:durableId="2090499240">
    <w:abstractNumId w:val="10"/>
  </w:num>
  <w:num w:numId="9" w16cid:durableId="880245388">
    <w:abstractNumId w:val="16"/>
  </w:num>
  <w:num w:numId="10" w16cid:durableId="615337275">
    <w:abstractNumId w:val="7"/>
  </w:num>
  <w:num w:numId="11" w16cid:durableId="1077437806">
    <w:abstractNumId w:val="4"/>
  </w:num>
  <w:num w:numId="12" w16cid:durableId="165367680">
    <w:abstractNumId w:val="6"/>
  </w:num>
  <w:num w:numId="13" w16cid:durableId="729421528">
    <w:abstractNumId w:val="2"/>
  </w:num>
  <w:num w:numId="14" w16cid:durableId="222451282">
    <w:abstractNumId w:val="9"/>
  </w:num>
  <w:num w:numId="15" w16cid:durableId="1427339728">
    <w:abstractNumId w:val="0"/>
  </w:num>
  <w:num w:numId="16" w16cid:durableId="531114374">
    <w:abstractNumId w:val="8"/>
  </w:num>
  <w:num w:numId="17" w16cid:durableId="1252000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0572886">
    <w:abstractNumId w:val="9"/>
    <w:lvlOverride w:ilvl="0">
      <w:startOverride w:val="2"/>
    </w:lvlOverride>
    <w:lvlOverride w:ilvl="1">
      <w:startOverride w:val="2"/>
    </w:lvlOverride>
  </w:num>
  <w:num w:numId="19" w16cid:durableId="1079597334">
    <w:abstractNumId w:val="9"/>
    <w:lvlOverride w:ilvl="0">
      <w:startOverride w:val="2"/>
    </w:lvlOverride>
    <w:lvlOverride w:ilvl="1">
      <w:startOverride w:val="2"/>
    </w:lvlOverride>
  </w:num>
  <w:num w:numId="20" w16cid:durableId="684403668">
    <w:abstractNumId w:val="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6784885">
    <w:abstractNumId w:val="9"/>
  </w:num>
  <w:num w:numId="22" w16cid:durableId="2000842974">
    <w:abstractNumId w:val="13"/>
  </w:num>
  <w:num w:numId="23" w16cid:durableId="1588418856">
    <w:abstractNumId w:val="3"/>
  </w:num>
  <w:num w:numId="24" w16cid:durableId="385766951">
    <w:abstractNumId w:val="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05E"/>
    <w:rsid w:val="00001ABF"/>
    <w:rsid w:val="000028B4"/>
    <w:rsid w:val="00022869"/>
    <w:rsid w:val="000315D3"/>
    <w:rsid w:val="000323C6"/>
    <w:rsid w:val="00042A57"/>
    <w:rsid w:val="00044FBB"/>
    <w:rsid w:val="00046C71"/>
    <w:rsid w:val="0005097A"/>
    <w:rsid w:val="0005330C"/>
    <w:rsid w:val="00062204"/>
    <w:rsid w:val="000626B0"/>
    <w:rsid w:val="000645CA"/>
    <w:rsid w:val="000655FA"/>
    <w:rsid w:val="00067F0C"/>
    <w:rsid w:val="000803E2"/>
    <w:rsid w:val="000B3136"/>
    <w:rsid w:val="000B7D0A"/>
    <w:rsid w:val="000C6F02"/>
    <w:rsid w:val="000D14BF"/>
    <w:rsid w:val="000D250A"/>
    <w:rsid w:val="000D58E5"/>
    <w:rsid w:val="000D5EE1"/>
    <w:rsid w:val="000E09F5"/>
    <w:rsid w:val="000E1863"/>
    <w:rsid w:val="000E43B8"/>
    <w:rsid w:val="000E6D12"/>
    <w:rsid w:val="000E7EDC"/>
    <w:rsid w:val="000F0700"/>
    <w:rsid w:val="000F5608"/>
    <w:rsid w:val="00100D81"/>
    <w:rsid w:val="0010639E"/>
    <w:rsid w:val="00106F3E"/>
    <w:rsid w:val="00114C8E"/>
    <w:rsid w:val="00117736"/>
    <w:rsid w:val="001250A4"/>
    <w:rsid w:val="001274C3"/>
    <w:rsid w:val="00127BCB"/>
    <w:rsid w:val="00131B29"/>
    <w:rsid w:val="00132D63"/>
    <w:rsid w:val="00134E7A"/>
    <w:rsid w:val="00136A37"/>
    <w:rsid w:val="00137B50"/>
    <w:rsid w:val="00143021"/>
    <w:rsid w:val="00145FDF"/>
    <w:rsid w:val="001503C3"/>
    <w:rsid w:val="00151D79"/>
    <w:rsid w:val="00151ED7"/>
    <w:rsid w:val="00155570"/>
    <w:rsid w:val="001640EB"/>
    <w:rsid w:val="00175162"/>
    <w:rsid w:val="001779A5"/>
    <w:rsid w:val="00186718"/>
    <w:rsid w:val="001868C5"/>
    <w:rsid w:val="0019222C"/>
    <w:rsid w:val="00195840"/>
    <w:rsid w:val="001A1D20"/>
    <w:rsid w:val="001A7D80"/>
    <w:rsid w:val="001B01E0"/>
    <w:rsid w:val="001B4D9A"/>
    <w:rsid w:val="001B5066"/>
    <w:rsid w:val="001C6CC3"/>
    <w:rsid w:val="001C6F16"/>
    <w:rsid w:val="001D405E"/>
    <w:rsid w:val="001E2AE1"/>
    <w:rsid w:val="001E641F"/>
    <w:rsid w:val="001F0A1D"/>
    <w:rsid w:val="001F1469"/>
    <w:rsid w:val="001F1B31"/>
    <w:rsid w:val="001F2460"/>
    <w:rsid w:val="001F72B4"/>
    <w:rsid w:val="0021341F"/>
    <w:rsid w:val="00217AEF"/>
    <w:rsid w:val="00222CF9"/>
    <w:rsid w:val="00234154"/>
    <w:rsid w:val="00241AF6"/>
    <w:rsid w:val="00251217"/>
    <w:rsid w:val="0027458E"/>
    <w:rsid w:val="0027766F"/>
    <w:rsid w:val="00285CE0"/>
    <w:rsid w:val="0028615A"/>
    <w:rsid w:val="00287B81"/>
    <w:rsid w:val="00297538"/>
    <w:rsid w:val="002A1E4B"/>
    <w:rsid w:val="002A50C2"/>
    <w:rsid w:val="002D3830"/>
    <w:rsid w:val="002D5F5B"/>
    <w:rsid w:val="002E69FA"/>
    <w:rsid w:val="002F1CCC"/>
    <w:rsid w:val="002F29F1"/>
    <w:rsid w:val="003013C2"/>
    <w:rsid w:val="003029C5"/>
    <w:rsid w:val="0030433F"/>
    <w:rsid w:val="0030591A"/>
    <w:rsid w:val="00311047"/>
    <w:rsid w:val="003241DC"/>
    <w:rsid w:val="00325D11"/>
    <w:rsid w:val="003335E5"/>
    <w:rsid w:val="00346C61"/>
    <w:rsid w:val="00352304"/>
    <w:rsid w:val="003524F8"/>
    <w:rsid w:val="003526C0"/>
    <w:rsid w:val="00355675"/>
    <w:rsid w:val="00361D40"/>
    <w:rsid w:val="00376414"/>
    <w:rsid w:val="00377155"/>
    <w:rsid w:val="00380EF8"/>
    <w:rsid w:val="00382A93"/>
    <w:rsid w:val="00385B0D"/>
    <w:rsid w:val="0039017F"/>
    <w:rsid w:val="00393477"/>
    <w:rsid w:val="003957FC"/>
    <w:rsid w:val="003973DC"/>
    <w:rsid w:val="00397932"/>
    <w:rsid w:val="003A6F8E"/>
    <w:rsid w:val="003C6D29"/>
    <w:rsid w:val="003C7352"/>
    <w:rsid w:val="003D5331"/>
    <w:rsid w:val="003D7E98"/>
    <w:rsid w:val="003E77ED"/>
    <w:rsid w:val="003F1246"/>
    <w:rsid w:val="003F7C3E"/>
    <w:rsid w:val="00411F56"/>
    <w:rsid w:val="00416001"/>
    <w:rsid w:val="00416874"/>
    <w:rsid w:val="00424D77"/>
    <w:rsid w:val="00425070"/>
    <w:rsid w:val="00425949"/>
    <w:rsid w:val="00431372"/>
    <w:rsid w:val="0043678F"/>
    <w:rsid w:val="00442642"/>
    <w:rsid w:val="00456732"/>
    <w:rsid w:val="00457607"/>
    <w:rsid w:val="00460810"/>
    <w:rsid w:val="00461AA6"/>
    <w:rsid w:val="00484075"/>
    <w:rsid w:val="00485E3B"/>
    <w:rsid w:val="00492A55"/>
    <w:rsid w:val="00497D32"/>
    <w:rsid w:val="004A16E0"/>
    <w:rsid w:val="004A30D0"/>
    <w:rsid w:val="004A3A65"/>
    <w:rsid w:val="004A43CF"/>
    <w:rsid w:val="004A455C"/>
    <w:rsid w:val="004A57DB"/>
    <w:rsid w:val="004B1B7D"/>
    <w:rsid w:val="004B4946"/>
    <w:rsid w:val="004B5EF0"/>
    <w:rsid w:val="004B7BEB"/>
    <w:rsid w:val="004C0BE1"/>
    <w:rsid w:val="004C2A82"/>
    <w:rsid w:val="004C2B8E"/>
    <w:rsid w:val="004E4218"/>
    <w:rsid w:val="004E66FA"/>
    <w:rsid w:val="004E6B1C"/>
    <w:rsid w:val="004F01D9"/>
    <w:rsid w:val="004F0654"/>
    <w:rsid w:val="00500D29"/>
    <w:rsid w:val="005019D1"/>
    <w:rsid w:val="005039F6"/>
    <w:rsid w:val="00505C26"/>
    <w:rsid w:val="005114E2"/>
    <w:rsid w:val="00513212"/>
    <w:rsid w:val="00513460"/>
    <w:rsid w:val="00514469"/>
    <w:rsid w:val="0051755A"/>
    <w:rsid w:val="00520BB4"/>
    <w:rsid w:val="0053739B"/>
    <w:rsid w:val="00547BCC"/>
    <w:rsid w:val="00554A2A"/>
    <w:rsid w:val="0055590A"/>
    <w:rsid w:val="00556EAC"/>
    <w:rsid w:val="00570407"/>
    <w:rsid w:val="0057499D"/>
    <w:rsid w:val="00581AE2"/>
    <w:rsid w:val="0058289E"/>
    <w:rsid w:val="00583969"/>
    <w:rsid w:val="00584439"/>
    <w:rsid w:val="00586567"/>
    <w:rsid w:val="005B6F84"/>
    <w:rsid w:val="005C09F2"/>
    <w:rsid w:val="005C1983"/>
    <w:rsid w:val="005D29B5"/>
    <w:rsid w:val="005D6E27"/>
    <w:rsid w:val="005D7A32"/>
    <w:rsid w:val="005E210A"/>
    <w:rsid w:val="005E3012"/>
    <w:rsid w:val="005E522A"/>
    <w:rsid w:val="005E5879"/>
    <w:rsid w:val="005E7D55"/>
    <w:rsid w:val="005F0B0C"/>
    <w:rsid w:val="005F27B2"/>
    <w:rsid w:val="005F32FD"/>
    <w:rsid w:val="005F494D"/>
    <w:rsid w:val="005F6909"/>
    <w:rsid w:val="00603ED2"/>
    <w:rsid w:val="00607E4F"/>
    <w:rsid w:val="00621FDC"/>
    <w:rsid w:val="0062201E"/>
    <w:rsid w:val="00625197"/>
    <w:rsid w:val="00634BBC"/>
    <w:rsid w:val="006351C3"/>
    <w:rsid w:val="00636E58"/>
    <w:rsid w:val="006454E5"/>
    <w:rsid w:val="00646C2C"/>
    <w:rsid w:val="00651B82"/>
    <w:rsid w:val="006624BE"/>
    <w:rsid w:val="0066269D"/>
    <w:rsid w:val="00662D7C"/>
    <w:rsid w:val="00664058"/>
    <w:rsid w:val="00666160"/>
    <w:rsid w:val="00683589"/>
    <w:rsid w:val="006858F2"/>
    <w:rsid w:val="006A27D1"/>
    <w:rsid w:val="006B5E90"/>
    <w:rsid w:val="006B62D7"/>
    <w:rsid w:val="006C0232"/>
    <w:rsid w:val="006D6033"/>
    <w:rsid w:val="006E1CFA"/>
    <w:rsid w:val="006E4EF4"/>
    <w:rsid w:val="006E61E2"/>
    <w:rsid w:val="006E69D9"/>
    <w:rsid w:val="006E7FCE"/>
    <w:rsid w:val="0070317E"/>
    <w:rsid w:val="0070746A"/>
    <w:rsid w:val="007079FE"/>
    <w:rsid w:val="007113D8"/>
    <w:rsid w:val="0071713B"/>
    <w:rsid w:val="00730FB7"/>
    <w:rsid w:val="007366F2"/>
    <w:rsid w:val="00737ED0"/>
    <w:rsid w:val="0074520A"/>
    <w:rsid w:val="00750699"/>
    <w:rsid w:val="00750E32"/>
    <w:rsid w:val="00752895"/>
    <w:rsid w:val="0075746E"/>
    <w:rsid w:val="007625B5"/>
    <w:rsid w:val="00767444"/>
    <w:rsid w:val="007705A6"/>
    <w:rsid w:val="00773BA0"/>
    <w:rsid w:val="007772F9"/>
    <w:rsid w:val="0078127E"/>
    <w:rsid w:val="00786167"/>
    <w:rsid w:val="00787475"/>
    <w:rsid w:val="00787FEC"/>
    <w:rsid w:val="0079196F"/>
    <w:rsid w:val="007929C5"/>
    <w:rsid w:val="00795A28"/>
    <w:rsid w:val="007A2E44"/>
    <w:rsid w:val="007A347D"/>
    <w:rsid w:val="007A64AC"/>
    <w:rsid w:val="007A6BD5"/>
    <w:rsid w:val="007A7866"/>
    <w:rsid w:val="007C04DF"/>
    <w:rsid w:val="007C1D84"/>
    <w:rsid w:val="007C351C"/>
    <w:rsid w:val="007C3971"/>
    <w:rsid w:val="007C4F65"/>
    <w:rsid w:val="007D1EA6"/>
    <w:rsid w:val="007D21E3"/>
    <w:rsid w:val="007D3F2D"/>
    <w:rsid w:val="007E4ADC"/>
    <w:rsid w:val="007E7634"/>
    <w:rsid w:val="007F34D3"/>
    <w:rsid w:val="00805BB8"/>
    <w:rsid w:val="008064CB"/>
    <w:rsid w:val="00807A4D"/>
    <w:rsid w:val="008168CC"/>
    <w:rsid w:val="00826ACA"/>
    <w:rsid w:val="008271DA"/>
    <w:rsid w:val="008338DC"/>
    <w:rsid w:val="00833A5B"/>
    <w:rsid w:val="00842798"/>
    <w:rsid w:val="008462DF"/>
    <w:rsid w:val="00847AC8"/>
    <w:rsid w:val="008501F3"/>
    <w:rsid w:val="00860CF2"/>
    <w:rsid w:val="00865DBC"/>
    <w:rsid w:val="00882DC3"/>
    <w:rsid w:val="008852DD"/>
    <w:rsid w:val="00886BF3"/>
    <w:rsid w:val="00886C15"/>
    <w:rsid w:val="00886F6C"/>
    <w:rsid w:val="00894173"/>
    <w:rsid w:val="008A0D9C"/>
    <w:rsid w:val="008A40A0"/>
    <w:rsid w:val="008A5F01"/>
    <w:rsid w:val="008B36B5"/>
    <w:rsid w:val="008B3C04"/>
    <w:rsid w:val="008C0610"/>
    <w:rsid w:val="008C4501"/>
    <w:rsid w:val="008C529D"/>
    <w:rsid w:val="008C5989"/>
    <w:rsid w:val="008D320C"/>
    <w:rsid w:val="008D45FA"/>
    <w:rsid w:val="008F02A3"/>
    <w:rsid w:val="008F1482"/>
    <w:rsid w:val="008F2F70"/>
    <w:rsid w:val="00900183"/>
    <w:rsid w:val="0090525E"/>
    <w:rsid w:val="009114F7"/>
    <w:rsid w:val="00911647"/>
    <w:rsid w:val="00914F9F"/>
    <w:rsid w:val="009223F4"/>
    <w:rsid w:val="0093185C"/>
    <w:rsid w:val="00931AC1"/>
    <w:rsid w:val="009469A1"/>
    <w:rsid w:val="00950C95"/>
    <w:rsid w:val="00950E26"/>
    <w:rsid w:val="0095162B"/>
    <w:rsid w:val="00952F29"/>
    <w:rsid w:val="00955838"/>
    <w:rsid w:val="00956FFE"/>
    <w:rsid w:val="00960157"/>
    <w:rsid w:val="00965FB8"/>
    <w:rsid w:val="00966CD0"/>
    <w:rsid w:val="00970621"/>
    <w:rsid w:val="0097604F"/>
    <w:rsid w:val="009764DB"/>
    <w:rsid w:val="00977A37"/>
    <w:rsid w:val="00984587"/>
    <w:rsid w:val="00986256"/>
    <w:rsid w:val="00987F00"/>
    <w:rsid w:val="00990F68"/>
    <w:rsid w:val="00990FFA"/>
    <w:rsid w:val="0099623D"/>
    <w:rsid w:val="00996FD3"/>
    <w:rsid w:val="009A2375"/>
    <w:rsid w:val="009A6766"/>
    <w:rsid w:val="009C1DF1"/>
    <w:rsid w:val="009C23FE"/>
    <w:rsid w:val="009D04EB"/>
    <w:rsid w:val="009D066A"/>
    <w:rsid w:val="009D0A28"/>
    <w:rsid w:val="009D1866"/>
    <w:rsid w:val="009D1F1C"/>
    <w:rsid w:val="009D7900"/>
    <w:rsid w:val="009E41A0"/>
    <w:rsid w:val="009E6AE3"/>
    <w:rsid w:val="009F5C54"/>
    <w:rsid w:val="00A033A0"/>
    <w:rsid w:val="00A056B9"/>
    <w:rsid w:val="00A11D35"/>
    <w:rsid w:val="00A152B7"/>
    <w:rsid w:val="00A220B2"/>
    <w:rsid w:val="00A25E80"/>
    <w:rsid w:val="00A32B49"/>
    <w:rsid w:val="00A32FA6"/>
    <w:rsid w:val="00A35423"/>
    <w:rsid w:val="00A35D9C"/>
    <w:rsid w:val="00A42735"/>
    <w:rsid w:val="00A46DA4"/>
    <w:rsid w:val="00A50C2E"/>
    <w:rsid w:val="00A52465"/>
    <w:rsid w:val="00A5565E"/>
    <w:rsid w:val="00A63A1E"/>
    <w:rsid w:val="00A651F2"/>
    <w:rsid w:val="00A67EBF"/>
    <w:rsid w:val="00A7337F"/>
    <w:rsid w:val="00A7796E"/>
    <w:rsid w:val="00A8553E"/>
    <w:rsid w:val="00A90A24"/>
    <w:rsid w:val="00A9421A"/>
    <w:rsid w:val="00AA4756"/>
    <w:rsid w:val="00AB7485"/>
    <w:rsid w:val="00AC0A2F"/>
    <w:rsid w:val="00AD2D35"/>
    <w:rsid w:val="00AD4876"/>
    <w:rsid w:val="00AD7750"/>
    <w:rsid w:val="00AE21B1"/>
    <w:rsid w:val="00AE4175"/>
    <w:rsid w:val="00AF0BF4"/>
    <w:rsid w:val="00AF1874"/>
    <w:rsid w:val="00AF493A"/>
    <w:rsid w:val="00B0102D"/>
    <w:rsid w:val="00B021A8"/>
    <w:rsid w:val="00B05EB2"/>
    <w:rsid w:val="00B129A6"/>
    <w:rsid w:val="00B17E4C"/>
    <w:rsid w:val="00B27D97"/>
    <w:rsid w:val="00B359EC"/>
    <w:rsid w:val="00B4356B"/>
    <w:rsid w:val="00B503E7"/>
    <w:rsid w:val="00B556F3"/>
    <w:rsid w:val="00B570C1"/>
    <w:rsid w:val="00B6404E"/>
    <w:rsid w:val="00B70592"/>
    <w:rsid w:val="00B70741"/>
    <w:rsid w:val="00B85DF7"/>
    <w:rsid w:val="00B92404"/>
    <w:rsid w:val="00B928CD"/>
    <w:rsid w:val="00B947B6"/>
    <w:rsid w:val="00BA7098"/>
    <w:rsid w:val="00BB327F"/>
    <w:rsid w:val="00BC113D"/>
    <w:rsid w:val="00BC4027"/>
    <w:rsid w:val="00BC5A00"/>
    <w:rsid w:val="00BC6106"/>
    <w:rsid w:val="00BE1955"/>
    <w:rsid w:val="00BE5DE7"/>
    <w:rsid w:val="00BE77C2"/>
    <w:rsid w:val="00BE7868"/>
    <w:rsid w:val="00BF2080"/>
    <w:rsid w:val="00BF53A5"/>
    <w:rsid w:val="00C06282"/>
    <w:rsid w:val="00C1196B"/>
    <w:rsid w:val="00C14CE1"/>
    <w:rsid w:val="00C21AE4"/>
    <w:rsid w:val="00C312CE"/>
    <w:rsid w:val="00C51050"/>
    <w:rsid w:val="00C55F71"/>
    <w:rsid w:val="00C60241"/>
    <w:rsid w:val="00C77ABC"/>
    <w:rsid w:val="00C80F6B"/>
    <w:rsid w:val="00C8655B"/>
    <w:rsid w:val="00C92967"/>
    <w:rsid w:val="00C947B5"/>
    <w:rsid w:val="00CB69F8"/>
    <w:rsid w:val="00CC13B8"/>
    <w:rsid w:val="00CC7AD0"/>
    <w:rsid w:val="00CD6570"/>
    <w:rsid w:val="00CD75A2"/>
    <w:rsid w:val="00CE04A9"/>
    <w:rsid w:val="00CE6EF6"/>
    <w:rsid w:val="00CF0F44"/>
    <w:rsid w:val="00CF6DF9"/>
    <w:rsid w:val="00D037F1"/>
    <w:rsid w:val="00D04E10"/>
    <w:rsid w:val="00D0536C"/>
    <w:rsid w:val="00D12244"/>
    <w:rsid w:val="00D207C7"/>
    <w:rsid w:val="00D2651E"/>
    <w:rsid w:val="00D27BDA"/>
    <w:rsid w:val="00D27DD5"/>
    <w:rsid w:val="00D32179"/>
    <w:rsid w:val="00D328E5"/>
    <w:rsid w:val="00D42FEF"/>
    <w:rsid w:val="00D47FD7"/>
    <w:rsid w:val="00D536DC"/>
    <w:rsid w:val="00D54A06"/>
    <w:rsid w:val="00D65D34"/>
    <w:rsid w:val="00D7156B"/>
    <w:rsid w:val="00D7180D"/>
    <w:rsid w:val="00D74438"/>
    <w:rsid w:val="00D84955"/>
    <w:rsid w:val="00D86834"/>
    <w:rsid w:val="00D873C6"/>
    <w:rsid w:val="00D90306"/>
    <w:rsid w:val="00D90D70"/>
    <w:rsid w:val="00D9170B"/>
    <w:rsid w:val="00D92A63"/>
    <w:rsid w:val="00D92E03"/>
    <w:rsid w:val="00D96352"/>
    <w:rsid w:val="00DA34C9"/>
    <w:rsid w:val="00DA571F"/>
    <w:rsid w:val="00DB151A"/>
    <w:rsid w:val="00DB7B34"/>
    <w:rsid w:val="00DC4E66"/>
    <w:rsid w:val="00DC7864"/>
    <w:rsid w:val="00DD0F26"/>
    <w:rsid w:val="00DD2B9D"/>
    <w:rsid w:val="00DE37ED"/>
    <w:rsid w:val="00DE767F"/>
    <w:rsid w:val="00DE786C"/>
    <w:rsid w:val="00DF4B21"/>
    <w:rsid w:val="00DF6A46"/>
    <w:rsid w:val="00E012EB"/>
    <w:rsid w:val="00E0242E"/>
    <w:rsid w:val="00E03485"/>
    <w:rsid w:val="00E0415B"/>
    <w:rsid w:val="00E05C7A"/>
    <w:rsid w:val="00E05D27"/>
    <w:rsid w:val="00E2050C"/>
    <w:rsid w:val="00E216F8"/>
    <w:rsid w:val="00E21C94"/>
    <w:rsid w:val="00E277C4"/>
    <w:rsid w:val="00E326DE"/>
    <w:rsid w:val="00E369EA"/>
    <w:rsid w:val="00E603B5"/>
    <w:rsid w:val="00E62828"/>
    <w:rsid w:val="00E632C5"/>
    <w:rsid w:val="00E65213"/>
    <w:rsid w:val="00E6639B"/>
    <w:rsid w:val="00E66B49"/>
    <w:rsid w:val="00E76688"/>
    <w:rsid w:val="00E92B55"/>
    <w:rsid w:val="00E94192"/>
    <w:rsid w:val="00E959B4"/>
    <w:rsid w:val="00E972CB"/>
    <w:rsid w:val="00EA06CC"/>
    <w:rsid w:val="00EA1A68"/>
    <w:rsid w:val="00EA746B"/>
    <w:rsid w:val="00EB1A51"/>
    <w:rsid w:val="00EC15BD"/>
    <w:rsid w:val="00EC49E2"/>
    <w:rsid w:val="00ED0E9F"/>
    <w:rsid w:val="00ED785F"/>
    <w:rsid w:val="00EF2EB2"/>
    <w:rsid w:val="00EF4DEF"/>
    <w:rsid w:val="00F0313F"/>
    <w:rsid w:val="00F03965"/>
    <w:rsid w:val="00F05BA2"/>
    <w:rsid w:val="00F129C7"/>
    <w:rsid w:val="00F1308B"/>
    <w:rsid w:val="00F319FA"/>
    <w:rsid w:val="00F33843"/>
    <w:rsid w:val="00F36BAE"/>
    <w:rsid w:val="00F36EC4"/>
    <w:rsid w:val="00F409EF"/>
    <w:rsid w:val="00F415C5"/>
    <w:rsid w:val="00F428E4"/>
    <w:rsid w:val="00F4581C"/>
    <w:rsid w:val="00F45BE7"/>
    <w:rsid w:val="00F543F2"/>
    <w:rsid w:val="00F56828"/>
    <w:rsid w:val="00F60219"/>
    <w:rsid w:val="00F63668"/>
    <w:rsid w:val="00F636CA"/>
    <w:rsid w:val="00F74BB8"/>
    <w:rsid w:val="00F768FF"/>
    <w:rsid w:val="00F773CA"/>
    <w:rsid w:val="00F83375"/>
    <w:rsid w:val="00F84E4C"/>
    <w:rsid w:val="00F856BF"/>
    <w:rsid w:val="00F86A65"/>
    <w:rsid w:val="00F902B4"/>
    <w:rsid w:val="00F93142"/>
    <w:rsid w:val="00F97251"/>
    <w:rsid w:val="00FD4CAB"/>
    <w:rsid w:val="00FE6586"/>
    <w:rsid w:val="00FF52F3"/>
    <w:rsid w:val="00FF7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55C83"/>
  <w15:chartTrackingRefBased/>
  <w15:docId w15:val="{4A533713-D772-4FD1-AC5D-F384FA0B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A55"/>
    <w:pPr>
      <w:spacing w:after="240" w:line="240" w:lineRule="auto"/>
      <w:jc w:val="both"/>
    </w:pPr>
    <w:rPr>
      <w:rFonts w:ascii="Arial" w:hAnsi="Arial"/>
      <w:sz w:val="24"/>
    </w:rPr>
  </w:style>
  <w:style w:type="paragraph" w:styleId="Heading1">
    <w:name w:val="heading 1"/>
    <w:basedOn w:val="Normal"/>
    <w:next w:val="Normal"/>
    <w:link w:val="Heading1Char"/>
    <w:uiPriority w:val="9"/>
    <w:qFormat/>
    <w:rsid w:val="00DC7864"/>
    <w:pPr>
      <w:keepNext/>
      <w:keepLines/>
      <w:numPr>
        <w:numId w:val="1"/>
      </w:numPr>
      <w:spacing w:before="240" w:after="0"/>
      <w:ind w:left="567" w:hanging="567"/>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C7864"/>
    <w:pPr>
      <w:keepNext/>
      <w:keepLines/>
      <w:numPr>
        <w:ilvl w:val="1"/>
        <w:numId w:val="1"/>
      </w:numPr>
      <w:spacing w:before="40" w:after="0"/>
      <w:ind w:left="601" w:hanging="601"/>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9D1866"/>
    <w:pPr>
      <w:keepNext/>
      <w:keepLines/>
      <w:numPr>
        <w:numId w:val="15"/>
      </w:numPr>
      <w:spacing w:before="40" w:after="0"/>
      <w:outlineLvl w:val="2"/>
    </w:pPr>
    <w:rPr>
      <w:rFonts w:eastAsiaTheme="majorEastAsia" w:cstheme="majorBidi"/>
      <w:b/>
      <w:szCs w:val="24"/>
    </w:rPr>
  </w:style>
  <w:style w:type="paragraph" w:styleId="Heading4">
    <w:name w:val="heading 4"/>
    <w:basedOn w:val="Normal"/>
    <w:next w:val="Normal"/>
    <w:link w:val="Heading4Char"/>
    <w:autoRedefine/>
    <w:uiPriority w:val="9"/>
    <w:unhideWhenUsed/>
    <w:qFormat/>
    <w:rsid w:val="0005330C"/>
    <w:pPr>
      <w:keepNext/>
      <w:keepLines/>
      <w:numPr>
        <w:ilvl w:val="1"/>
        <w:numId w:val="23"/>
      </w:numPr>
      <w:tabs>
        <w:tab w:val="left" w:pos="567"/>
      </w:tabs>
      <w:spacing w:before="40" w:after="0"/>
      <w:jc w:val="left"/>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F03965"/>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03965"/>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03965"/>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0396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0396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864"/>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DC7864"/>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9D1866"/>
    <w:rPr>
      <w:rFonts w:ascii="Arial" w:eastAsiaTheme="majorEastAsia" w:hAnsi="Arial" w:cstheme="majorBidi"/>
      <w:b/>
      <w:sz w:val="24"/>
      <w:szCs w:val="24"/>
    </w:rPr>
  </w:style>
  <w:style w:type="paragraph" w:styleId="Title">
    <w:name w:val="Title"/>
    <w:basedOn w:val="Normal"/>
    <w:next w:val="Normal"/>
    <w:link w:val="TitleChar"/>
    <w:uiPriority w:val="10"/>
    <w:qFormat/>
    <w:rsid w:val="009D1866"/>
    <w:pPr>
      <w:spacing w:after="0"/>
      <w:contextualSpacing/>
    </w:pPr>
    <w:rPr>
      <w:rFonts w:eastAsiaTheme="majorEastAsia" w:cstheme="majorBidi"/>
      <w:b/>
      <w:spacing w:val="-10"/>
      <w:kern w:val="28"/>
      <w:sz w:val="48"/>
      <w:szCs w:val="56"/>
    </w:rPr>
  </w:style>
  <w:style w:type="character" w:customStyle="1" w:styleId="TitleChar">
    <w:name w:val="Title Char"/>
    <w:basedOn w:val="DefaultParagraphFont"/>
    <w:link w:val="Title"/>
    <w:uiPriority w:val="10"/>
    <w:rsid w:val="009D1866"/>
    <w:rPr>
      <w:rFonts w:ascii="Arial" w:eastAsiaTheme="majorEastAsia" w:hAnsi="Arial" w:cstheme="majorBidi"/>
      <w:b/>
      <w:spacing w:val="-10"/>
      <w:kern w:val="28"/>
      <w:sz w:val="48"/>
      <w:szCs w:val="56"/>
    </w:rPr>
  </w:style>
  <w:style w:type="paragraph" w:styleId="FootnoteText">
    <w:name w:val="footnote text"/>
    <w:basedOn w:val="Normal"/>
    <w:link w:val="FootnoteTextChar"/>
    <w:uiPriority w:val="99"/>
    <w:semiHidden/>
    <w:unhideWhenUsed/>
    <w:rsid w:val="00EA1A68"/>
    <w:pPr>
      <w:spacing w:after="0"/>
    </w:pPr>
    <w:rPr>
      <w:sz w:val="20"/>
      <w:szCs w:val="20"/>
    </w:rPr>
  </w:style>
  <w:style w:type="character" w:customStyle="1" w:styleId="FootnoteTextChar">
    <w:name w:val="Footnote Text Char"/>
    <w:basedOn w:val="DefaultParagraphFont"/>
    <w:link w:val="FootnoteText"/>
    <w:uiPriority w:val="99"/>
    <w:semiHidden/>
    <w:rsid w:val="00EA1A68"/>
    <w:rPr>
      <w:rFonts w:ascii="Arial" w:hAnsi="Arial"/>
      <w:sz w:val="20"/>
      <w:szCs w:val="20"/>
    </w:rPr>
  </w:style>
  <w:style w:type="character" w:styleId="FootnoteReference">
    <w:name w:val="footnote reference"/>
    <w:basedOn w:val="DefaultParagraphFont"/>
    <w:uiPriority w:val="99"/>
    <w:semiHidden/>
    <w:unhideWhenUsed/>
    <w:rsid w:val="00EA1A68"/>
    <w:rPr>
      <w:vertAlign w:val="superscript"/>
    </w:rPr>
  </w:style>
  <w:style w:type="paragraph" w:styleId="ListParagraph">
    <w:name w:val="List Paragraph"/>
    <w:basedOn w:val="Normal"/>
    <w:uiPriority w:val="34"/>
    <w:qFormat/>
    <w:rsid w:val="00EA1A68"/>
    <w:pPr>
      <w:ind w:left="720"/>
      <w:contextualSpacing/>
    </w:pPr>
  </w:style>
  <w:style w:type="paragraph" w:styleId="Header">
    <w:name w:val="header"/>
    <w:basedOn w:val="Normal"/>
    <w:link w:val="HeaderChar"/>
    <w:uiPriority w:val="99"/>
    <w:unhideWhenUsed/>
    <w:rsid w:val="00EA1A68"/>
    <w:pPr>
      <w:tabs>
        <w:tab w:val="center" w:pos="4513"/>
        <w:tab w:val="right" w:pos="9026"/>
      </w:tabs>
      <w:spacing w:after="0"/>
    </w:pPr>
  </w:style>
  <w:style w:type="character" w:customStyle="1" w:styleId="HeaderChar">
    <w:name w:val="Header Char"/>
    <w:basedOn w:val="DefaultParagraphFont"/>
    <w:link w:val="Header"/>
    <w:uiPriority w:val="99"/>
    <w:rsid w:val="00EA1A68"/>
    <w:rPr>
      <w:rFonts w:ascii="Arial" w:hAnsi="Arial"/>
      <w:sz w:val="24"/>
    </w:rPr>
  </w:style>
  <w:style w:type="paragraph" w:styleId="Footer">
    <w:name w:val="footer"/>
    <w:basedOn w:val="Normal"/>
    <w:link w:val="FooterChar"/>
    <w:uiPriority w:val="99"/>
    <w:unhideWhenUsed/>
    <w:rsid w:val="00EA1A68"/>
    <w:pPr>
      <w:tabs>
        <w:tab w:val="center" w:pos="4513"/>
        <w:tab w:val="right" w:pos="9026"/>
      </w:tabs>
      <w:spacing w:after="0"/>
    </w:pPr>
  </w:style>
  <w:style w:type="character" w:customStyle="1" w:styleId="FooterChar">
    <w:name w:val="Footer Char"/>
    <w:basedOn w:val="DefaultParagraphFont"/>
    <w:link w:val="Footer"/>
    <w:uiPriority w:val="99"/>
    <w:rsid w:val="00EA1A68"/>
    <w:rPr>
      <w:rFonts w:ascii="Arial" w:hAnsi="Arial"/>
      <w:sz w:val="24"/>
    </w:rPr>
  </w:style>
  <w:style w:type="table" w:styleId="TableGrid">
    <w:name w:val="Table Grid"/>
    <w:basedOn w:val="TableNormal"/>
    <w:uiPriority w:val="59"/>
    <w:rsid w:val="004F0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qFormat/>
    <w:rsid w:val="001F72B4"/>
    <w:pPr>
      <w:spacing w:before="240" w:after="240" w:line="240" w:lineRule="auto"/>
      <w:jc w:val="center"/>
    </w:pPr>
    <w:rPr>
      <w:rFonts w:ascii="Arial" w:eastAsia="Times New Roman" w:hAnsi="Arial" w:cs="Times New Roman"/>
      <w:b/>
      <w:sz w:val="24"/>
      <w:szCs w:val="20"/>
      <w:lang w:eastAsia="en-GB"/>
    </w:rPr>
  </w:style>
  <w:style w:type="paragraph" w:customStyle="1" w:styleId="P1">
    <w:name w:val="P1"/>
    <w:basedOn w:val="Normal"/>
    <w:qFormat/>
    <w:rsid w:val="001F72B4"/>
    <w:rPr>
      <w:rFonts w:eastAsia="Times New Roman" w:cs="Times New Roman"/>
      <w:szCs w:val="20"/>
      <w:lang w:eastAsia="en-GB"/>
    </w:rPr>
  </w:style>
  <w:style w:type="paragraph" w:customStyle="1" w:styleId="P2">
    <w:name w:val="P2"/>
    <w:basedOn w:val="P1"/>
    <w:qFormat/>
    <w:rsid w:val="001F72B4"/>
    <w:pPr>
      <w:ind w:left="567"/>
    </w:pPr>
  </w:style>
  <w:style w:type="paragraph" w:customStyle="1" w:styleId="L1">
    <w:name w:val="L1"/>
    <w:basedOn w:val="Normal"/>
    <w:qFormat/>
    <w:rsid w:val="001F72B4"/>
    <w:pPr>
      <w:ind w:left="567" w:hanging="567"/>
    </w:pPr>
    <w:rPr>
      <w:rFonts w:eastAsia="Times New Roman" w:cs="Times New Roman"/>
      <w:szCs w:val="20"/>
      <w:lang w:eastAsia="en-GB"/>
    </w:rPr>
  </w:style>
  <w:style w:type="paragraph" w:customStyle="1" w:styleId="L2">
    <w:name w:val="L2"/>
    <w:basedOn w:val="L1"/>
    <w:qFormat/>
    <w:rsid w:val="001F72B4"/>
    <w:pPr>
      <w:ind w:left="1134"/>
    </w:pPr>
  </w:style>
  <w:style w:type="character" w:styleId="CommentReference">
    <w:name w:val="annotation reference"/>
    <w:basedOn w:val="DefaultParagraphFont"/>
    <w:uiPriority w:val="99"/>
    <w:semiHidden/>
    <w:unhideWhenUsed/>
    <w:rsid w:val="001F72B4"/>
    <w:rPr>
      <w:sz w:val="16"/>
      <w:szCs w:val="16"/>
    </w:rPr>
  </w:style>
  <w:style w:type="paragraph" w:styleId="CommentText">
    <w:name w:val="annotation text"/>
    <w:basedOn w:val="Normal"/>
    <w:link w:val="CommentTextChar"/>
    <w:uiPriority w:val="99"/>
    <w:unhideWhenUsed/>
    <w:rsid w:val="001F72B4"/>
    <w:pPr>
      <w:spacing w:after="0"/>
      <w:jc w:val="left"/>
    </w:pPr>
    <w:rPr>
      <w:rFonts w:ascii="Calibri" w:hAnsi="Calibri" w:cs="Times New Roman"/>
      <w:sz w:val="20"/>
      <w:szCs w:val="20"/>
      <w:lang w:val="en-IE" w:eastAsia="en-IE"/>
    </w:rPr>
  </w:style>
  <w:style w:type="character" w:customStyle="1" w:styleId="CommentTextChar">
    <w:name w:val="Comment Text Char"/>
    <w:basedOn w:val="DefaultParagraphFont"/>
    <w:link w:val="CommentText"/>
    <w:uiPriority w:val="99"/>
    <w:rsid w:val="001F72B4"/>
    <w:rPr>
      <w:rFonts w:ascii="Calibri" w:hAnsi="Calibri" w:cs="Times New Roman"/>
      <w:sz w:val="20"/>
      <w:szCs w:val="20"/>
      <w:lang w:val="en-IE" w:eastAsia="en-IE"/>
    </w:rPr>
  </w:style>
  <w:style w:type="paragraph" w:styleId="BalloonText">
    <w:name w:val="Balloon Text"/>
    <w:basedOn w:val="Normal"/>
    <w:link w:val="BalloonTextChar"/>
    <w:uiPriority w:val="99"/>
    <w:semiHidden/>
    <w:unhideWhenUsed/>
    <w:rsid w:val="001F72B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2B4"/>
    <w:rPr>
      <w:rFonts w:ascii="Segoe UI" w:hAnsi="Segoe UI" w:cs="Segoe UI"/>
      <w:sz w:val="18"/>
      <w:szCs w:val="18"/>
    </w:rPr>
  </w:style>
  <w:style w:type="paragraph" w:styleId="TOC2">
    <w:name w:val="toc 2"/>
    <w:basedOn w:val="Normal"/>
    <w:next w:val="Normal"/>
    <w:autoRedefine/>
    <w:uiPriority w:val="39"/>
    <w:unhideWhenUsed/>
    <w:rsid w:val="00B6404E"/>
    <w:pPr>
      <w:spacing w:after="100"/>
      <w:ind w:left="240"/>
    </w:pPr>
  </w:style>
  <w:style w:type="paragraph" w:styleId="TOC1">
    <w:name w:val="toc 1"/>
    <w:basedOn w:val="Normal"/>
    <w:next w:val="Normal"/>
    <w:autoRedefine/>
    <w:uiPriority w:val="39"/>
    <w:unhideWhenUsed/>
    <w:rsid w:val="00886F6C"/>
    <w:pPr>
      <w:tabs>
        <w:tab w:val="left" w:pos="440"/>
        <w:tab w:val="right" w:leader="dot" w:pos="9016"/>
      </w:tabs>
      <w:spacing w:after="100"/>
    </w:pPr>
  </w:style>
  <w:style w:type="character" w:styleId="Hyperlink">
    <w:name w:val="Hyperlink"/>
    <w:basedOn w:val="DefaultParagraphFont"/>
    <w:uiPriority w:val="99"/>
    <w:unhideWhenUsed/>
    <w:rsid w:val="00B6404E"/>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D4876"/>
    <w:pPr>
      <w:spacing w:after="240"/>
      <w:jc w:val="both"/>
    </w:pPr>
    <w:rPr>
      <w:rFonts w:ascii="Arial" w:hAnsi="Arial" w:cstheme="minorBidi"/>
      <w:b/>
      <w:bCs/>
      <w:lang w:val="en-GB" w:eastAsia="en-US"/>
    </w:rPr>
  </w:style>
  <w:style w:type="character" w:customStyle="1" w:styleId="CommentSubjectChar">
    <w:name w:val="Comment Subject Char"/>
    <w:basedOn w:val="CommentTextChar"/>
    <w:link w:val="CommentSubject"/>
    <w:uiPriority w:val="99"/>
    <w:semiHidden/>
    <w:rsid w:val="00AD4876"/>
    <w:rPr>
      <w:rFonts w:ascii="Arial" w:hAnsi="Arial" w:cs="Times New Roman"/>
      <w:b/>
      <w:bCs/>
      <w:sz w:val="20"/>
      <w:szCs w:val="20"/>
      <w:lang w:val="en-IE" w:eastAsia="en-IE"/>
    </w:rPr>
  </w:style>
  <w:style w:type="character" w:customStyle="1" w:styleId="Heading4Char">
    <w:name w:val="Heading 4 Char"/>
    <w:basedOn w:val="DefaultParagraphFont"/>
    <w:link w:val="Heading4"/>
    <w:uiPriority w:val="9"/>
    <w:rsid w:val="0005330C"/>
    <w:rPr>
      <w:rFonts w:ascii="Arial" w:eastAsiaTheme="majorEastAsia" w:hAnsi="Arial" w:cstheme="majorBidi"/>
      <w:b/>
      <w:iCs/>
      <w:sz w:val="24"/>
    </w:rPr>
  </w:style>
  <w:style w:type="character" w:customStyle="1" w:styleId="Heading5Char">
    <w:name w:val="Heading 5 Char"/>
    <w:basedOn w:val="DefaultParagraphFont"/>
    <w:link w:val="Heading5"/>
    <w:uiPriority w:val="9"/>
    <w:semiHidden/>
    <w:rsid w:val="00F03965"/>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semiHidden/>
    <w:rsid w:val="00F03965"/>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F03965"/>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F0396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03965"/>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8064CB"/>
    <w:rPr>
      <w:color w:val="605E5C"/>
      <w:shd w:val="clear" w:color="auto" w:fill="E1DFDD"/>
    </w:rPr>
  </w:style>
  <w:style w:type="character" w:styleId="FollowedHyperlink">
    <w:name w:val="FollowedHyperlink"/>
    <w:basedOn w:val="DefaultParagraphFont"/>
    <w:uiPriority w:val="99"/>
    <w:semiHidden/>
    <w:unhideWhenUsed/>
    <w:rsid w:val="00F543F2"/>
    <w:rPr>
      <w:color w:val="800080" w:themeColor="followedHyperlink"/>
      <w:u w:val="single"/>
    </w:rPr>
  </w:style>
  <w:style w:type="paragraph" w:customStyle="1" w:styleId="Default">
    <w:name w:val="Default"/>
    <w:rsid w:val="00F63668"/>
    <w:pPr>
      <w:autoSpaceDE w:val="0"/>
      <w:autoSpaceDN w:val="0"/>
      <w:adjustRightInd w:val="0"/>
      <w:spacing w:after="0" w:line="240" w:lineRule="auto"/>
    </w:pPr>
    <w:rPr>
      <w:rFonts w:ascii="Arial" w:hAnsi="Arial" w:cs="Arial"/>
      <w:color w:val="000000"/>
      <w:sz w:val="24"/>
      <w:szCs w:val="24"/>
      <w:lang w:val="en-IE"/>
    </w:rPr>
  </w:style>
  <w:style w:type="character" w:styleId="Strong">
    <w:name w:val="Strong"/>
    <w:basedOn w:val="DefaultParagraphFont"/>
    <w:uiPriority w:val="22"/>
    <w:qFormat/>
    <w:rsid w:val="007A2E44"/>
    <w:rPr>
      <w:b/>
      <w:bCs/>
    </w:rPr>
  </w:style>
  <w:style w:type="table" w:styleId="GridTable1Light-Accent3">
    <w:name w:val="Grid Table 1 Light Accent 3"/>
    <w:basedOn w:val="TableNormal"/>
    <w:uiPriority w:val="46"/>
    <w:rsid w:val="003013C2"/>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3013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4-Accent1">
    <w:name w:val="List Table 4 Accent 1"/>
    <w:basedOn w:val="TableNormal"/>
    <w:uiPriority w:val="49"/>
    <w:rsid w:val="00287B8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E66B49"/>
    <w:rPr>
      <w:color w:val="605E5C"/>
      <w:shd w:val="clear" w:color="auto" w:fill="E1DFDD"/>
    </w:rPr>
  </w:style>
  <w:style w:type="paragraph" w:styleId="Revision">
    <w:name w:val="Revision"/>
    <w:hidden/>
    <w:uiPriority w:val="99"/>
    <w:semiHidden/>
    <w:rsid w:val="00D65D34"/>
    <w:pPr>
      <w:spacing w:after="0" w:line="240" w:lineRule="auto"/>
    </w:pPr>
    <w:rPr>
      <w:rFonts w:ascii="Arial" w:hAnsi="Arial"/>
      <w:sz w:val="24"/>
    </w:rPr>
  </w:style>
  <w:style w:type="table" w:customStyle="1" w:styleId="TableGrid1">
    <w:name w:val="Table Grid1"/>
    <w:basedOn w:val="TableNormal"/>
    <w:next w:val="TableGrid"/>
    <w:uiPriority w:val="39"/>
    <w:rsid w:val="00621FDC"/>
    <w:pPr>
      <w:spacing w:after="0" w:line="240" w:lineRule="auto"/>
    </w:pPr>
    <w:rPr>
      <w:lang w:val="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0105">
      <w:bodyDiv w:val="1"/>
      <w:marLeft w:val="0"/>
      <w:marRight w:val="0"/>
      <w:marTop w:val="0"/>
      <w:marBottom w:val="0"/>
      <w:divBdr>
        <w:top w:val="none" w:sz="0" w:space="0" w:color="auto"/>
        <w:left w:val="none" w:sz="0" w:space="0" w:color="auto"/>
        <w:bottom w:val="none" w:sz="0" w:space="0" w:color="auto"/>
        <w:right w:val="none" w:sz="0" w:space="0" w:color="auto"/>
      </w:divBdr>
    </w:div>
    <w:div w:id="42795835">
      <w:bodyDiv w:val="1"/>
      <w:marLeft w:val="0"/>
      <w:marRight w:val="0"/>
      <w:marTop w:val="0"/>
      <w:marBottom w:val="0"/>
      <w:divBdr>
        <w:top w:val="none" w:sz="0" w:space="0" w:color="auto"/>
        <w:left w:val="none" w:sz="0" w:space="0" w:color="auto"/>
        <w:bottom w:val="none" w:sz="0" w:space="0" w:color="auto"/>
        <w:right w:val="none" w:sz="0" w:space="0" w:color="auto"/>
      </w:divBdr>
    </w:div>
    <w:div w:id="402727523">
      <w:bodyDiv w:val="1"/>
      <w:marLeft w:val="0"/>
      <w:marRight w:val="0"/>
      <w:marTop w:val="0"/>
      <w:marBottom w:val="0"/>
      <w:divBdr>
        <w:top w:val="none" w:sz="0" w:space="0" w:color="auto"/>
        <w:left w:val="none" w:sz="0" w:space="0" w:color="auto"/>
        <w:bottom w:val="none" w:sz="0" w:space="0" w:color="auto"/>
        <w:right w:val="none" w:sz="0" w:space="0" w:color="auto"/>
      </w:divBdr>
    </w:div>
    <w:div w:id="495996055">
      <w:bodyDiv w:val="1"/>
      <w:marLeft w:val="0"/>
      <w:marRight w:val="0"/>
      <w:marTop w:val="0"/>
      <w:marBottom w:val="0"/>
      <w:divBdr>
        <w:top w:val="none" w:sz="0" w:space="0" w:color="auto"/>
        <w:left w:val="none" w:sz="0" w:space="0" w:color="auto"/>
        <w:bottom w:val="none" w:sz="0" w:space="0" w:color="auto"/>
        <w:right w:val="none" w:sz="0" w:space="0" w:color="auto"/>
      </w:divBdr>
    </w:div>
    <w:div w:id="591864920">
      <w:bodyDiv w:val="1"/>
      <w:marLeft w:val="0"/>
      <w:marRight w:val="0"/>
      <w:marTop w:val="0"/>
      <w:marBottom w:val="0"/>
      <w:divBdr>
        <w:top w:val="none" w:sz="0" w:space="0" w:color="auto"/>
        <w:left w:val="none" w:sz="0" w:space="0" w:color="auto"/>
        <w:bottom w:val="none" w:sz="0" w:space="0" w:color="auto"/>
        <w:right w:val="none" w:sz="0" w:space="0" w:color="auto"/>
      </w:divBdr>
    </w:div>
    <w:div w:id="619260153">
      <w:bodyDiv w:val="1"/>
      <w:marLeft w:val="0"/>
      <w:marRight w:val="0"/>
      <w:marTop w:val="0"/>
      <w:marBottom w:val="0"/>
      <w:divBdr>
        <w:top w:val="none" w:sz="0" w:space="0" w:color="auto"/>
        <w:left w:val="none" w:sz="0" w:space="0" w:color="auto"/>
        <w:bottom w:val="none" w:sz="0" w:space="0" w:color="auto"/>
        <w:right w:val="none" w:sz="0" w:space="0" w:color="auto"/>
      </w:divBdr>
    </w:div>
    <w:div w:id="715199959">
      <w:bodyDiv w:val="1"/>
      <w:marLeft w:val="0"/>
      <w:marRight w:val="0"/>
      <w:marTop w:val="0"/>
      <w:marBottom w:val="0"/>
      <w:divBdr>
        <w:top w:val="none" w:sz="0" w:space="0" w:color="auto"/>
        <w:left w:val="none" w:sz="0" w:space="0" w:color="auto"/>
        <w:bottom w:val="none" w:sz="0" w:space="0" w:color="auto"/>
        <w:right w:val="none" w:sz="0" w:space="0" w:color="auto"/>
      </w:divBdr>
    </w:div>
    <w:div w:id="720372375">
      <w:bodyDiv w:val="1"/>
      <w:marLeft w:val="0"/>
      <w:marRight w:val="0"/>
      <w:marTop w:val="0"/>
      <w:marBottom w:val="0"/>
      <w:divBdr>
        <w:top w:val="none" w:sz="0" w:space="0" w:color="auto"/>
        <w:left w:val="none" w:sz="0" w:space="0" w:color="auto"/>
        <w:bottom w:val="none" w:sz="0" w:space="0" w:color="auto"/>
        <w:right w:val="none" w:sz="0" w:space="0" w:color="auto"/>
      </w:divBdr>
    </w:div>
    <w:div w:id="759448760">
      <w:bodyDiv w:val="1"/>
      <w:marLeft w:val="0"/>
      <w:marRight w:val="0"/>
      <w:marTop w:val="0"/>
      <w:marBottom w:val="0"/>
      <w:divBdr>
        <w:top w:val="none" w:sz="0" w:space="0" w:color="auto"/>
        <w:left w:val="none" w:sz="0" w:space="0" w:color="auto"/>
        <w:bottom w:val="none" w:sz="0" w:space="0" w:color="auto"/>
        <w:right w:val="none" w:sz="0" w:space="0" w:color="auto"/>
      </w:divBdr>
    </w:div>
    <w:div w:id="832329730">
      <w:bodyDiv w:val="1"/>
      <w:marLeft w:val="0"/>
      <w:marRight w:val="0"/>
      <w:marTop w:val="0"/>
      <w:marBottom w:val="0"/>
      <w:divBdr>
        <w:top w:val="none" w:sz="0" w:space="0" w:color="auto"/>
        <w:left w:val="none" w:sz="0" w:space="0" w:color="auto"/>
        <w:bottom w:val="none" w:sz="0" w:space="0" w:color="auto"/>
        <w:right w:val="none" w:sz="0" w:space="0" w:color="auto"/>
      </w:divBdr>
    </w:div>
    <w:div w:id="947545699">
      <w:bodyDiv w:val="1"/>
      <w:marLeft w:val="0"/>
      <w:marRight w:val="0"/>
      <w:marTop w:val="0"/>
      <w:marBottom w:val="0"/>
      <w:divBdr>
        <w:top w:val="none" w:sz="0" w:space="0" w:color="auto"/>
        <w:left w:val="none" w:sz="0" w:space="0" w:color="auto"/>
        <w:bottom w:val="none" w:sz="0" w:space="0" w:color="auto"/>
        <w:right w:val="none" w:sz="0" w:space="0" w:color="auto"/>
      </w:divBdr>
    </w:div>
    <w:div w:id="1153569711">
      <w:bodyDiv w:val="1"/>
      <w:marLeft w:val="0"/>
      <w:marRight w:val="0"/>
      <w:marTop w:val="0"/>
      <w:marBottom w:val="0"/>
      <w:divBdr>
        <w:top w:val="none" w:sz="0" w:space="0" w:color="auto"/>
        <w:left w:val="none" w:sz="0" w:space="0" w:color="auto"/>
        <w:bottom w:val="none" w:sz="0" w:space="0" w:color="auto"/>
        <w:right w:val="none" w:sz="0" w:space="0" w:color="auto"/>
      </w:divBdr>
    </w:div>
    <w:div w:id="1188369013">
      <w:bodyDiv w:val="1"/>
      <w:marLeft w:val="0"/>
      <w:marRight w:val="0"/>
      <w:marTop w:val="0"/>
      <w:marBottom w:val="0"/>
      <w:divBdr>
        <w:top w:val="none" w:sz="0" w:space="0" w:color="auto"/>
        <w:left w:val="none" w:sz="0" w:space="0" w:color="auto"/>
        <w:bottom w:val="none" w:sz="0" w:space="0" w:color="auto"/>
        <w:right w:val="none" w:sz="0" w:space="0" w:color="auto"/>
      </w:divBdr>
      <w:divsChild>
        <w:div w:id="500775088">
          <w:marLeft w:val="547"/>
          <w:marRight w:val="0"/>
          <w:marTop w:val="0"/>
          <w:marBottom w:val="0"/>
          <w:divBdr>
            <w:top w:val="none" w:sz="0" w:space="0" w:color="auto"/>
            <w:left w:val="none" w:sz="0" w:space="0" w:color="auto"/>
            <w:bottom w:val="none" w:sz="0" w:space="0" w:color="auto"/>
            <w:right w:val="none" w:sz="0" w:space="0" w:color="auto"/>
          </w:divBdr>
        </w:div>
      </w:divsChild>
    </w:div>
    <w:div w:id="1296914441">
      <w:bodyDiv w:val="1"/>
      <w:marLeft w:val="0"/>
      <w:marRight w:val="0"/>
      <w:marTop w:val="0"/>
      <w:marBottom w:val="0"/>
      <w:divBdr>
        <w:top w:val="none" w:sz="0" w:space="0" w:color="auto"/>
        <w:left w:val="none" w:sz="0" w:space="0" w:color="auto"/>
        <w:bottom w:val="none" w:sz="0" w:space="0" w:color="auto"/>
        <w:right w:val="none" w:sz="0" w:space="0" w:color="auto"/>
      </w:divBdr>
    </w:div>
    <w:div w:id="1483276730">
      <w:bodyDiv w:val="1"/>
      <w:marLeft w:val="0"/>
      <w:marRight w:val="0"/>
      <w:marTop w:val="0"/>
      <w:marBottom w:val="0"/>
      <w:divBdr>
        <w:top w:val="none" w:sz="0" w:space="0" w:color="auto"/>
        <w:left w:val="none" w:sz="0" w:space="0" w:color="auto"/>
        <w:bottom w:val="none" w:sz="0" w:space="0" w:color="auto"/>
        <w:right w:val="none" w:sz="0" w:space="0" w:color="auto"/>
      </w:divBdr>
    </w:div>
    <w:div w:id="1717196146">
      <w:bodyDiv w:val="1"/>
      <w:marLeft w:val="0"/>
      <w:marRight w:val="0"/>
      <w:marTop w:val="0"/>
      <w:marBottom w:val="0"/>
      <w:divBdr>
        <w:top w:val="none" w:sz="0" w:space="0" w:color="auto"/>
        <w:left w:val="none" w:sz="0" w:space="0" w:color="auto"/>
        <w:bottom w:val="none" w:sz="0" w:space="0" w:color="auto"/>
        <w:right w:val="none" w:sz="0" w:space="0" w:color="auto"/>
      </w:divBdr>
    </w:div>
    <w:div w:id="197656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fo@pensionsauthority.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ensionsauthority.ie/en/trustees_registered_administrators/code_of_practice_for_truste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pensionsauthority.ie/en/trustees_registered_administrators/defined_benefit_financial_risk_meas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58560-997D-485F-9531-6826F379A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1980</Words>
  <Characters>11289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Fitzpatrick-Nolan</dc:creator>
  <cp:keywords/>
  <dc:description/>
  <cp:lastModifiedBy>Aideen Bugler (Pensions Authority)</cp:lastModifiedBy>
  <cp:revision>4</cp:revision>
  <cp:lastPrinted>2021-11-18T09:06:00Z</cp:lastPrinted>
  <dcterms:created xsi:type="dcterms:W3CDTF">2026-04-07T10:50:00Z</dcterms:created>
  <dcterms:modified xsi:type="dcterms:W3CDTF">2026-04-07T11:07:00Z</dcterms:modified>
</cp:coreProperties>
</file>