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70CB6" w14:textId="0F505961" w:rsidR="000616F1" w:rsidRDefault="000616F1" w:rsidP="000616F1">
      <w:pPr>
        <w:spacing w:after="120"/>
        <w:jc w:val="center"/>
        <w:rPr>
          <w:rFonts w:ascii="Arial" w:hAnsi="Arial" w:cs="Arial"/>
          <w:b/>
          <w:lang w:val="en-GB"/>
        </w:rPr>
      </w:pPr>
    </w:p>
    <w:p w14:paraId="18818DBF" w14:textId="3D279202" w:rsidR="006A2A35" w:rsidRDefault="006A2A35" w:rsidP="000616F1">
      <w:pPr>
        <w:spacing w:after="120"/>
        <w:jc w:val="center"/>
        <w:rPr>
          <w:rFonts w:ascii="Arial" w:hAnsi="Arial" w:cs="Arial"/>
          <w:b/>
          <w:lang w:val="en-GB"/>
        </w:rPr>
      </w:pPr>
    </w:p>
    <w:p w14:paraId="3219245A" w14:textId="0994716E" w:rsidR="006A2A35" w:rsidRDefault="006A2A35" w:rsidP="000616F1">
      <w:pPr>
        <w:spacing w:after="120"/>
        <w:jc w:val="center"/>
        <w:rPr>
          <w:rFonts w:ascii="Arial" w:hAnsi="Arial" w:cs="Arial"/>
          <w:b/>
          <w:lang w:val="en-GB"/>
        </w:rPr>
      </w:pPr>
    </w:p>
    <w:p w14:paraId="1ED04F8C" w14:textId="38886562" w:rsidR="006A2A35" w:rsidRDefault="006A2A35" w:rsidP="000616F1">
      <w:pPr>
        <w:spacing w:after="120"/>
        <w:jc w:val="center"/>
        <w:rPr>
          <w:rFonts w:ascii="Arial" w:hAnsi="Arial" w:cs="Arial"/>
          <w:b/>
          <w:lang w:val="en-GB"/>
        </w:rPr>
      </w:pPr>
    </w:p>
    <w:p w14:paraId="63A62AEE" w14:textId="2C9A0DF5" w:rsidR="006A2A35" w:rsidRDefault="006A2A35" w:rsidP="000616F1">
      <w:pPr>
        <w:spacing w:after="120"/>
        <w:jc w:val="center"/>
        <w:rPr>
          <w:rFonts w:ascii="Arial" w:hAnsi="Arial" w:cs="Arial"/>
          <w:b/>
          <w:lang w:val="en-GB"/>
        </w:rPr>
      </w:pPr>
    </w:p>
    <w:p w14:paraId="2D164AF8" w14:textId="4B46D333" w:rsidR="006A2A35" w:rsidRDefault="006A2A35" w:rsidP="000616F1">
      <w:pPr>
        <w:spacing w:after="120"/>
        <w:jc w:val="center"/>
        <w:rPr>
          <w:rFonts w:ascii="Arial" w:hAnsi="Arial" w:cs="Arial"/>
          <w:b/>
          <w:lang w:val="en-GB"/>
        </w:rPr>
      </w:pPr>
    </w:p>
    <w:p w14:paraId="772133D3" w14:textId="4FCE1FDC" w:rsidR="006A2A35" w:rsidRDefault="006A2A35" w:rsidP="000616F1">
      <w:pPr>
        <w:spacing w:after="120"/>
        <w:jc w:val="center"/>
        <w:rPr>
          <w:rFonts w:ascii="Arial" w:hAnsi="Arial" w:cs="Arial"/>
          <w:b/>
          <w:lang w:val="en-GB"/>
        </w:rPr>
      </w:pPr>
    </w:p>
    <w:p w14:paraId="31A91EA7" w14:textId="4009BD71" w:rsidR="006A2A35" w:rsidRDefault="006A2A35" w:rsidP="000616F1">
      <w:pPr>
        <w:spacing w:after="120"/>
        <w:jc w:val="center"/>
        <w:rPr>
          <w:rFonts w:ascii="Arial" w:hAnsi="Arial" w:cs="Arial"/>
          <w:b/>
          <w:lang w:val="en-GB"/>
        </w:rPr>
      </w:pPr>
    </w:p>
    <w:p w14:paraId="50B56A8C" w14:textId="77777777" w:rsidR="006A2A35" w:rsidRDefault="006A2A35" w:rsidP="000616F1">
      <w:pPr>
        <w:spacing w:after="120"/>
        <w:jc w:val="center"/>
        <w:rPr>
          <w:rFonts w:ascii="Arial" w:hAnsi="Arial" w:cs="Arial"/>
          <w:b/>
          <w:lang w:val="en-GB"/>
        </w:rPr>
      </w:pPr>
    </w:p>
    <w:p w14:paraId="70DD3D3A" w14:textId="06DD1106" w:rsidR="006A2A35" w:rsidRPr="00BE156A" w:rsidRDefault="006A2A35" w:rsidP="000616F1">
      <w:pPr>
        <w:spacing w:after="120"/>
        <w:jc w:val="center"/>
        <w:rPr>
          <w:rFonts w:ascii="Arial" w:hAnsi="Arial" w:cs="Arial"/>
          <w:b/>
          <w:lang w:val="en-GB"/>
        </w:rPr>
      </w:pPr>
    </w:p>
    <w:p w14:paraId="790FA730" w14:textId="2C401CD5" w:rsidR="000616F1" w:rsidRPr="00BE156A" w:rsidRDefault="000616F1" w:rsidP="000616F1">
      <w:pPr>
        <w:spacing w:after="120"/>
        <w:jc w:val="center"/>
        <w:rPr>
          <w:rFonts w:ascii="Arial" w:hAnsi="Arial" w:cs="Arial"/>
          <w:b/>
          <w:lang w:val="en-GB"/>
        </w:rPr>
      </w:pPr>
    </w:p>
    <w:p w14:paraId="688DCD0D" w14:textId="7D79299B" w:rsidR="000616F1" w:rsidRDefault="000616F1" w:rsidP="006A2A35">
      <w:pPr>
        <w:spacing w:after="120"/>
        <w:jc w:val="center"/>
        <w:rPr>
          <w:rFonts w:ascii="Arial" w:hAnsi="Arial" w:cs="Arial"/>
          <w:b/>
          <w:sz w:val="48"/>
          <w:szCs w:val="48"/>
          <w:lang w:val="en-GB"/>
        </w:rPr>
      </w:pPr>
      <w:r w:rsidRPr="006A2A35">
        <w:rPr>
          <w:rFonts w:ascii="Arial" w:hAnsi="Arial" w:cs="Arial"/>
          <w:b/>
          <w:sz w:val="48"/>
          <w:szCs w:val="48"/>
          <w:lang w:val="en-GB"/>
        </w:rPr>
        <w:t>Social Welfare and Pensions (No. 2) Act</w:t>
      </w:r>
      <w:r w:rsidR="00F817C7">
        <w:rPr>
          <w:rFonts w:ascii="Arial" w:hAnsi="Arial" w:cs="Arial"/>
          <w:b/>
          <w:sz w:val="48"/>
          <w:szCs w:val="48"/>
          <w:lang w:val="en-GB"/>
        </w:rPr>
        <w:t>,</w:t>
      </w:r>
      <w:r w:rsidRPr="006A2A35">
        <w:rPr>
          <w:rFonts w:ascii="Arial" w:hAnsi="Arial" w:cs="Arial"/>
          <w:b/>
          <w:sz w:val="48"/>
          <w:szCs w:val="48"/>
          <w:lang w:val="en-GB"/>
        </w:rPr>
        <w:t xml:space="preserve"> 2013</w:t>
      </w:r>
    </w:p>
    <w:p w14:paraId="59B1151E" w14:textId="77777777" w:rsidR="006A2A35" w:rsidRPr="006A2A35" w:rsidRDefault="006A2A35" w:rsidP="000616F1">
      <w:pPr>
        <w:spacing w:after="120"/>
        <w:jc w:val="center"/>
        <w:rPr>
          <w:rFonts w:ascii="Arial" w:hAnsi="Arial" w:cs="Arial"/>
          <w:b/>
          <w:sz w:val="48"/>
          <w:szCs w:val="48"/>
          <w:lang w:val="en-GB"/>
        </w:rPr>
      </w:pPr>
    </w:p>
    <w:p w14:paraId="23006C3A" w14:textId="7E9B79BE" w:rsidR="000616F1" w:rsidRDefault="000616F1" w:rsidP="000616F1">
      <w:pPr>
        <w:spacing w:after="120"/>
        <w:jc w:val="center"/>
        <w:rPr>
          <w:rFonts w:ascii="Arial" w:hAnsi="Arial" w:cs="Arial"/>
          <w:b/>
          <w:sz w:val="48"/>
          <w:szCs w:val="48"/>
          <w:lang w:val="en-GB"/>
        </w:rPr>
      </w:pPr>
      <w:r w:rsidRPr="006A2A35">
        <w:rPr>
          <w:rFonts w:ascii="Arial" w:hAnsi="Arial" w:cs="Arial"/>
          <w:b/>
          <w:sz w:val="48"/>
          <w:szCs w:val="48"/>
          <w:lang w:val="en-GB"/>
        </w:rPr>
        <w:t xml:space="preserve">Information </w:t>
      </w:r>
      <w:r w:rsidR="006A2A35" w:rsidRPr="006A2A35">
        <w:rPr>
          <w:rFonts w:ascii="Arial" w:hAnsi="Arial" w:cs="Arial"/>
          <w:b/>
          <w:sz w:val="48"/>
          <w:szCs w:val="48"/>
          <w:lang w:val="en-GB"/>
        </w:rPr>
        <w:t>n</w:t>
      </w:r>
      <w:r w:rsidRPr="006A2A35">
        <w:rPr>
          <w:rFonts w:ascii="Arial" w:hAnsi="Arial" w:cs="Arial"/>
          <w:b/>
          <w:sz w:val="48"/>
          <w:szCs w:val="48"/>
          <w:lang w:val="en-GB"/>
        </w:rPr>
        <w:t>ote</w:t>
      </w:r>
    </w:p>
    <w:p w14:paraId="2D9A7C9E" w14:textId="77777777" w:rsidR="006A2A35" w:rsidRDefault="006A2A35" w:rsidP="000616F1">
      <w:pPr>
        <w:spacing w:after="120"/>
        <w:jc w:val="center"/>
        <w:rPr>
          <w:rFonts w:ascii="Arial" w:hAnsi="Arial" w:cs="Arial"/>
          <w:b/>
          <w:sz w:val="48"/>
          <w:szCs w:val="48"/>
          <w:lang w:val="en-GB"/>
        </w:rPr>
      </w:pPr>
    </w:p>
    <w:p w14:paraId="2AF418D4" w14:textId="7169486E" w:rsidR="006A2A35" w:rsidRDefault="006A2A35" w:rsidP="000616F1">
      <w:pPr>
        <w:spacing w:after="120"/>
        <w:jc w:val="center"/>
        <w:rPr>
          <w:rFonts w:ascii="Arial" w:hAnsi="Arial" w:cs="Arial"/>
          <w:b/>
          <w:sz w:val="48"/>
          <w:szCs w:val="48"/>
          <w:lang w:val="en-GB"/>
        </w:rPr>
      </w:pPr>
    </w:p>
    <w:p w14:paraId="6F0C8A20" w14:textId="4F1BCDE8" w:rsidR="006A2A35" w:rsidRDefault="006A2A35" w:rsidP="000616F1">
      <w:pPr>
        <w:spacing w:after="120"/>
        <w:jc w:val="center"/>
        <w:rPr>
          <w:rFonts w:ascii="Arial" w:hAnsi="Arial" w:cs="Arial"/>
          <w:b/>
          <w:sz w:val="48"/>
          <w:szCs w:val="48"/>
          <w:lang w:val="en-GB"/>
        </w:rPr>
      </w:pPr>
    </w:p>
    <w:p w14:paraId="78B726DA" w14:textId="77777777" w:rsidR="006A2A35" w:rsidRPr="006A2A35" w:rsidRDefault="006A2A35" w:rsidP="000616F1">
      <w:pPr>
        <w:spacing w:after="120"/>
        <w:jc w:val="center"/>
        <w:rPr>
          <w:rFonts w:ascii="Arial" w:hAnsi="Arial" w:cs="Arial"/>
          <w:b/>
          <w:sz w:val="48"/>
          <w:szCs w:val="48"/>
          <w:lang w:val="en-GB"/>
        </w:rPr>
      </w:pPr>
    </w:p>
    <w:p w14:paraId="6244B440" w14:textId="740BC4A8" w:rsidR="000616F1" w:rsidRPr="00BE156A" w:rsidRDefault="000616F1" w:rsidP="000616F1">
      <w:pPr>
        <w:spacing w:after="120"/>
        <w:jc w:val="center"/>
        <w:rPr>
          <w:rFonts w:ascii="Arial" w:hAnsi="Arial" w:cs="Arial"/>
          <w:b/>
          <w:lang w:val="en-GB"/>
        </w:rPr>
      </w:pPr>
    </w:p>
    <w:p w14:paraId="00C3EA86" w14:textId="028447B0" w:rsidR="000616F1" w:rsidRPr="00BE156A" w:rsidRDefault="00E647C7">
      <w:pPr>
        <w:spacing w:after="200" w:line="276" w:lineRule="auto"/>
        <w:rPr>
          <w:rFonts w:ascii="Arial" w:hAnsi="Arial" w:cs="Arial"/>
          <w:b/>
          <w:lang w:val="en-GB"/>
        </w:rPr>
      </w:pPr>
      <w:r>
        <w:rPr>
          <w:rFonts w:ascii="Arial" w:hAnsi="Arial" w:cs="Arial"/>
          <w:b/>
          <w:noProof/>
          <w:lang w:val="en-IE" w:eastAsia="en-IE"/>
        </w:rPr>
        <mc:AlternateContent>
          <mc:Choice Requires="wps">
            <w:drawing>
              <wp:anchor distT="0" distB="0" distL="114300" distR="114300" simplePos="0" relativeHeight="251667456" behindDoc="0" locked="0" layoutInCell="1" allowOverlap="1" wp14:anchorId="557C0C67" wp14:editId="564FFCC9">
                <wp:simplePos x="0" y="0"/>
                <wp:positionH relativeFrom="column">
                  <wp:posOffset>208280</wp:posOffset>
                </wp:positionH>
                <wp:positionV relativeFrom="paragraph">
                  <wp:posOffset>169545</wp:posOffset>
                </wp:positionV>
                <wp:extent cx="5301615" cy="1446530"/>
                <wp:effectExtent l="0" t="0" r="13335" b="2032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1615" cy="1446530"/>
                        </a:xfrm>
                        <a:prstGeom prst="rect">
                          <a:avLst/>
                        </a:prstGeom>
                        <a:solidFill>
                          <a:srgbClr val="FFFFFF"/>
                        </a:solidFill>
                        <a:ln w="19050">
                          <a:solidFill>
                            <a:srgbClr val="000000"/>
                          </a:solidFill>
                          <a:miter lim="800000"/>
                          <a:headEnd/>
                          <a:tailEnd/>
                        </a:ln>
                      </wps:spPr>
                      <wps:txbx>
                        <w:txbxContent>
                          <w:p w14:paraId="3477811C" w14:textId="77777777" w:rsidR="00E647C7" w:rsidRPr="00E647C7" w:rsidRDefault="00E647C7" w:rsidP="00F817C7">
                            <w:pPr>
                              <w:spacing w:line="276" w:lineRule="auto"/>
                              <w:ind w:right="169"/>
                              <w:jc w:val="both"/>
                              <w:rPr>
                                <w:rFonts w:ascii="Arial" w:hAnsi="Arial" w:cs="Arial"/>
                                <w:b/>
                                <w:bCs/>
                                <w:iCs/>
                                <w:lang w:val="en-IE"/>
                              </w:rPr>
                            </w:pPr>
                            <w:r w:rsidRPr="00E647C7">
                              <w:rPr>
                                <w:rFonts w:ascii="Arial" w:hAnsi="Arial" w:cs="Arial"/>
                                <w:b/>
                                <w:bCs/>
                                <w:iCs/>
                                <w:lang w:val="en-IE"/>
                              </w:rPr>
                              <w:t>Disclaimer</w:t>
                            </w:r>
                          </w:p>
                          <w:p w14:paraId="67A0DC6C" w14:textId="77777777" w:rsidR="00E647C7" w:rsidRPr="00E647C7" w:rsidRDefault="00E647C7" w:rsidP="00E647C7">
                            <w:pPr>
                              <w:spacing w:line="276" w:lineRule="auto"/>
                              <w:ind w:left="164" w:right="169"/>
                              <w:jc w:val="both"/>
                              <w:rPr>
                                <w:rFonts w:ascii="Arial" w:hAnsi="Arial" w:cs="Arial"/>
                                <w:bCs/>
                                <w:iCs/>
                                <w:lang w:val="en-IE"/>
                              </w:rPr>
                            </w:pPr>
                          </w:p>
                          <w:p w14:paraId="2CB8D488" w14:textId="39533EF5" w:rsidR="00DC75CF" w:rsidRPr="000616F1" w:rsidRDefault="00E647C7" w:rsidP="00F817C7">
                            <w:pPr>
                              <w:jc w:val="both"/>
                              <w:rPr>
                                <w:rFonts w:ascii="Arial" w:hAnsi="Arial" w:cs="Arial"/>
                              </w:rPr>
                            </w:pPr>
                            <w:r w:rsidRPr="00E647C7">
                              <w:rPr>
                                <w:rFonts w:ascii="Arial" w:hAnsi="Arial" w:cs="Arial"/>
                                <w:bCs/>
                                <w:iCs/>
                                <w:lang w:val="en-IE"/>
                              </w:rPr>
                              <w:t>The Pensions Authority have made every effort to ensure that this document is correct. However, no liability whatsoever is accepted by the Pensions Authority, its servants or agents for any errors or omissions in the information contained in this document or for any loss occasioned to any person acting or refraining from acting as a result of the information in this document</w:t>
                            </w:r>
                            <w:r>
                              <w:rPr>
                                <w:rFonts w:ascii="Arial" w:hAnsi="Arial" w:cs="Arial"/>
                                <w:bCs/>
                                <w:iCs/>
                                <w:lang w:val="en-IE"/>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7C0C67" id="_x0000_t202" coordsize="21600,21600" o:spt="202" path="m,l,21600r21600,l21600,xe">
                <v:stroke joinstyle="miter"/>
                <v:path gradientshapeok="t" o:connecttype="rect"/>
              </v:shapetype>
              <v:shape id="Text Box 2" o:spid="_x0000_s1026" type="#_x0000_t202" style="position:absolute;margin-left:16.4pt;margin-top:13.35pt;width:417.45pt;height:113.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" strokeweight="1.5pt">
                <v:textbox>
                  <w:txbxContent>
                    <w:p w14:paraId="3477811C" w14:textId="77777777" w:rsidR="00E647C7" w:rsidRPr="00E647C7" w:rsidRDefault="00E647C7" w:rsidP="00F817C7">
                      <w:pPr>
                        <w:spacing w:line="276" w:lineRule="auto"/>
                        <w:ind w:right="169"/>
                        <w:jc w:val="both"/>
                        <w:rPr>
                          <w:rFonts w:ascii="Arial" w:hAnsi="Arial" w:cs="Arial"/>
                          <w:b/>
                          <w:bCs/>
                          <w:iCs/>
                          <w:lang w:val="en-IE"/>
                        </w:rPr>
                      </w:pPr>
                      <w:r w:rsidRPr="00E647C7">
                        <w:rPr>
                          <w:rFonts w:ascii="Arial" w:hAnsi="Arial" w:cs="Arial"/>
                          <w:b/>
                          <w:bCs/>
                          <w:iCs/>
                          <w:lang w:val="en-IE"/>
                        </w:rPr>
                        <w:t>Disclaimer</w:t>
                      </w:r>
                    </w:p>
                    <w:p w14:paraId="67A0DC6C" w14:textId="77777777" w:rsidR="00E647C7" w:rsidRPr="00E647C7" w:rsidRDefault="00E647C7" w:rsidP="00E647C7">
                      <w:pPr>
                        <w:spacing w:line="276" w:lineRule="auto"/>
                        <w:ind w:left="164" w:right="169"/>
                        <w:jc w:val="both"/>
                        <w:rPr>
                          <w:rFonts w:ascii="Arial" w:hAnsi="Arial" w:cs="Arial"/>
                          <w:bCs/>
                          <w:iCs/>
                          <w:lang w:val="en-IE"/>
                        </w:rPr>
                      </w:pPr>
                    </w:p>
                    <w:p w14:paraId="2CB8D488" w14:textId="39533EF5" w:rsidR="00DC75CF" w:rsidRPr="000616F1" w:rsidRDefault="00E647C7" w:rsidP="00F817C7">
                      <w:pPr>
                        <w:jc w:val="both"/>
                        <w:rPr>
                          <w:rFonts w:ascii="Arial" w:hAnsi="Arial" w:cs="Arial"/>
                        </w:rPr>
                      </w:pPr>
                      <w:r w:rsidRPr="00E647C7">
                        <w:rPr>
                          <w:rFonts w:ascii="Arial" w:hAnsi="Arial" w:cs="Arial"/>
                          <w:bCs/>
                          <w:iCs/>
                          <w:lang w:val="en-IE"/>
                        </w:rPr>
                        <w:t>The Pensions Authority have made every effort to ensure that this document is correct. However, no liability whatsoever is accepted by the Pensions Authority, its servants or agents for any errors or omissions in the information contained in this document or for any loss occasioned to any person acting or refraining from acting as a result of the information in this document</w:t>
                      </w:r>
                      <w:r>
                        <w:rPr>
                          <w:rFonts w:ascii="Arial" w:hAnsi="Arial" w:cs="Arial"/>
                          <w:bCs/>
                          <w:iCs/>
                          <w:lang w:val="en-IE"/>
                        </w:rPr>
                        <w:t>.</w:t>
                      </w:r>
                    </w:p>
                  </w:txbxContent>
                </v:textbox>
              </v:shape>
            </w:pict>
          </mc:Fallback>
        </mc:AlternateContent>
      </w:r>
    </w:p>
    <w:p w14:paraId="1040C715" w14:textId="2217751F" w:rsidR="006A2A35" w:rsidRDefault="006A2A35">
      <w:pPr>
        <w:spacing w:after="200" w:line="276" w:lineRule="auto"/>
        <w:rPr>
          <w:rFonts w:ascii="Arial" w:hAnsi="Arial" w:cs="Arial"/>
          <w:b/>
          <w:lang w:val="en-GB"/>
        </w:rPr>
      </w:pPr>
    </w:p>
    <w:p w14:paraId="4468BCA6" w14:textId="77777777" w:rsidR="006A2A35" w:rsidRDefault="006A2A35">
      <w:pPr>
        <w:spacing w:after="200" w:line="276" w:lineRule="auto"/>
        <w:rPr>
          <w:rFonts w:ascii="Arial" w:hAnsi="Arial" w:cs="Arial"/>
          <w:b/>
          <w:lang w:val="en-GB"/>
        </w:rPr>
      </w:pPr>
    </w:p>
    <w:p w14:paraId="5F87C39A" w14:textId="77777777" w:rsidR="006A2A35" w:rsidRPr="00BE156A" w:rsidRDefault="006A2A35">
      <w:pPr>
        <w:spacing w:after="200" w:line="276" w:lineRule="auto"/>
        <w:rPr>
          <w:rFonts w:ascii="Arial" w:hAnsi="Arial" w:cs="Arial"/>
          <w:b/>
          <w:lang w:val="en-GB"/>
        </w:rPr>
      </w:pPr>
    </w:p>
    <w:p w14:paraId="687C695A" w14:textId="77777777" w:rsidR="006A2A35" w:rsidRDefault="006A2A35" w:rsidP="002C770E">
      <w:pPr>
        <w:spacing w:after="120"/>
        <w:jc w:val="center"/>
        <w:rPr>
          <w:rFonts w:ascii="Arial" w:hAnsi="Arial" w:cs="Arial"/>
          <w:b/>
          <w:lang w:val="en-GB"/>
        </w:rPr>
        <w:sectPr w:rsidR="006A2A35" w:rsidSect="00BE156A">
          <w:headerReference w:type="default" r:id="rId8"/>
          <w:footerReference w:type="default" r:id="rId9"/>
          <w:pgSz w:w="11909" w:h="16834" w:code="9"/>
          <w:pgMar w:top="1440" w:right="1440" w:bottom="1702" w:left="1440" w:header="680" w:footer="680" w:gutter="0"/>
          <w:paperSrc w:first="262" w:other="262"/>
          <w:cols w:space="720"/>
          <w:docGrid w:linePitch="360"/>
        </w:sectPr>
      </w:pPr>
    </w:p>
    <w:p w14:paraId="45EA441B" w14:textId="684DE64D" w:rsidR="00157175" w:rsidRPr="00E87815" w:rsidRDefault="002C770E" w:rsidP="00B03D14">
      <w:pPr>
        <w:pStyle w:val="Heading3"/>
        <w:rPr>
          <w:b w:val="0"/>
          <w:lang w:val="en-GB"/>
        </w:rPr>
      </w:pPr>
      <w:r w:rsidRPr="00E87815">
        <w:rPr>
          <w:lang w:val="en-GB"/>
        </w:rPr>
        <w:lastRenderedPageBreak/>
        <w:t>Social Welfare and Pensions (No. 2) Act</w:t>
      </w:r>
      <w:r w:rsidR="00C174E7">
        <w:rPr>
          <w:lang w:val="en-GB"/>
        </w:rPr>
        <w:t>,</w:t>
      </w:r>
      <w:r w:rsidRPr="00E87815">
        <w:rPr>
          <w:lang w:val="en-GB"/>
        </w:rPr>
        <w:t xml:space="preserve"> 2013</w:t>
      </w:r>
      <w:r w:rsidR="00E87815" w:rsidRPr="00E87815">
        <w:rPr>
          <w:lang w:val="en-GB"/>
        </w:rPr>
        <w:t xml:space="preserve"> </w:t>
      </w:r>
    </w:p>
    <w:p w14:paraId="474394C7" w14:textId="144FA320" w:rsidR="002C770E" w:rsidRDefault="002C770E" w:rsidP="00B03D14">
      <w:pPr>
        <w:spacing w:line="276" w:lineRule="auto"/>
        <w:rPr>
          <w:rFonts w:ascii="Arial" w:eastAsia="Calibri" w:hAnsi="Arial" w:cs="Arial"/>
          <w:lang w:val="en-IE"/>
        </w:rPr>
      </w:pPr>
      <w:r w:rsidRPr="00BE156A">
        <w:rPr>
          <w:rFonts w:ascii="Arial" w:eastAsia="Calibri" w:hAnsi="Arial" w:cs="Arial"/>
          <w:lang w:val="en-IE"/>
        </w:rPr>
        <w:t>The Social Welfare and Pensions (No. 2) Act</w:t>
      </w:r>
      <w:r w:rsidR="00F817C7">
        <w:rPr>
          <w:rFonts w:ascii="Arial" w:eastAsia="Calibri" w:hAnsi="Arial" w:cs="Arial"/>
          <w:lang w:val="en-IE"/>
        </w:rPr>
        <w:t>,</w:t>
      </w:r>
      <w:r w:rsidRPr="00BE156A">
        <w:rPr>
          <w:rFonts w:ascii="Arial" w:eastAsia="Calibri" w:hAnsi="Arial" w:cs="Arial"/>
          <w:lang w:val="en-IE"/>
        </w:rPr>
        <w:t xml:space="preserve"> 2013 </w:t>
      </w:r>
      <w:r w:rsidR="00D549A3" w:rsidRPr="00BE156A">
        <w:rPr>
          <w:rFonts w:ascii="Arial" w:eastAsia="Calibri" w:hAnsi="Arial" w:cs="Arial"/>
          <w:lang w:val="en-IE"/>
        </w:rPr>
        <w:t>(</w:t>
      </w:r>
      <w:r w:rsidR="00E87815">
        <w:rPr>
          <w:rFonts w:ascii="Arial" w:eastAsia="Calibri" w:hAnsi="Arial" w:cs="Arial"/>
          <w:lang w:val="en-IE"/>
        </w:rPr>
        <w:t xml:space="preserve">the </w:t>
      </w:r>
      <w:r w:rsidR="00D549A3" w:rsidRPr="00BE156A">
        <w:rPr>
          <w:rFonts w:ascii="Arial" w:eastAsia="Calibri" w:hAnsi="Arial" w:cs="Arial"/>
          <w:lang w:val="en-IE"/>
        </w:rPr>
        <w:t>2013 Act</w:t>
      </w:r>
      <w:r w:rsidR="000971AC" w:rsidRPr="00BE156A">
        <w:rPr>
          <w:rFonts w:ascii="Arial" w:eastAsia="Calibri" w:hAnsi="Arial" w:cs="Arial"/>
          <w:lang w:val="en-IE"/>
        </w:rPr>
        <w:t xml:space="preserve">) </w:t>
      </w:r>
      <w:r w:rsidR="00F73083" w:rsidRPr="00BE156A">
        <w:rPr>
          <w:rFonts w:ascii="Arial" w:eastAsia="Calibri" w:hAnsi="Arial" w:cs="Arial"/>
          <w:lang w:val="en-IE"/>
        </w:rPr>
        <w:t>came into force on</w:t>
      </w:r>
      <w:r w:rsidRPr="00BE156A">
        <w:rPr>
          <w:rFonts w:ascii="Arial" w:eastAsia="Calibri" w:hAnsi="Arial" w:cs="Arial"/>
          <w:lang w:val="en-IE"/>
        </w:rPr>
        <w:t xml:space="preserve"> </w:t>
      </w:r>
      <w:r w:rsidR="009D36DB" w:rsidRPr="00BE156A">
        <w:rPr>
          <w:rFonts w:ascii="Arial" w:eastAsia="Calibri" w:hAnsi="Arial" w:cs="Arial"/>
          <w:lang w:val="en-IE"/>
        </w:rPr>
        <w:t>25 December 2013</w:t>
      </w:r>
      <w:r w:rsidRPr="00BE156A">
        <w:rPr>
          <w:rFonts w:ascii="Arial" w:eastAsia="Calibri" w:hAnsi="Arial" w:cs="Arial"/>
          <w:lang w:val="en-IE"/>
        </w:rPr>
        <w:t xml:space="preserve">. </w:t>
      </w:r>
      <w:r w:rsidR="00157175" w:rsidRPr="00BE156A">
        <w:rPr>
          <w:rFonts w:ascii="Arial" w:eastAsia="Calibri" w:hAnsi="Arial" w:cs="Arial"/>
          <w:lang w:val="en-IE"/>
        </w:rPr>
        <w:t>I</w:t>
      </w:r>
      <w:r w:rsidRPr="00BE156A">
        <w:rPr>
          <w:rFonts w:ascii="Arial" w:eastAsia="Calibri" w:hAnsi="Arial" w:cs="Arial"/>
          <w:lang w:val="en-IE"/>
        </w:rPr>
        <w:t>t introduce</w:t>
      </w:r>
      <w:r w:rsidR="00E87815">
        <w:rPr>
          <w:rFonts w:ascii="Arial" w:eastAsia="Calibri" w:hAnsi="Arial" w:cs="Arial"/>
          <w:lang w:val="en-IE"/>
        </w:rPr>
        <w:t>d</w:t>
      </w:r>
      <w:r w:rsidRPr="00BE156A">
        <w:rPr>
          <w:rFonts w:ascii="Arial" w:eastAsia="Calibri" w:hAnsi="Arial" w:cs="Arial"/>
          <w:lang w:val="en-IE"/>
        </w:rPr>
        <w:t xml:space="preserve"> two new wind-up priority orders and expands the type of benefit reductions which the Board may direct under section 50 of the Pensions Act</w:t>
      </w:r>
      <w:r w:rsidR="00E87815">
        <w:rPr>
          <w:rFonts w:ascii="Arial" w:eastAsia="Calibri" w:hAnsi="Arial" w:cs="Arial"/>
          <w:lang w:val="en-IE"/>
        </w:rPr>
        <w:t>,</w:t>
      </w:r>
      <w:r w:rsidRPr="00BE156A">
        <w:rPr>
          <w:rFonts w:ascii="Arial" w:eastAsia="Calibri" w:hAnsi="Arial" w:cs="Arial"/>
          <w:lang w:val="en-IE"/>
        </w:rPr>
        <w:t xml:space="preserve"> 1990</w:t>
      </w:r>
      <w:r w:rsidR="00E87815">
        <w:rPr>
          <w:rFonts w:ascii="Arial" w:eastAsia="Calibri" w:hAnsi="Arial" w:cs="Arial"/>
          <w:lang w:val="en-IE"/>
        </w:rPr>
        <w:t>, as amended (the Act)</w:t>
      </w:r>
      <w:r w:rsidRPr="00BE156A">
        <w:rPr>
          <w:rFonts w:ascii="Arial" w:eastAsia="Calibri" w:hAnsi="Arial" w:cs="Arial"/>
          <w:lang w:val="en-IE"/>
        </w:rPr>
        <w:t>.</w:t>
      </w:r>
    </w:p>
    <w:p w14:paraId="61556375" w14:textId="77777777" w:rsidR="00E87815" w:rsidRPr="00BE156A" w:rsidRDefault="00E87815" w:rsidP="00B03D14">
      <w:pPr>
        <w:spacing w:line="276" w:lineRule="auto"/>
        <w:rPr>
          <w:rFonts w:ascii="Arial" w:eastAsia="Calibri" w:hAnsi="Arial" w:cs="Arial"/>
          <w:lang w:val="en-IE"/>
        </w:rPr>
      </w:pPr>
    </w:p>
    <w:p w14:paraId="06AF6F63" w14:textId="4E31B92C" w:rsidR="00B31310" w:rsidRPr="00E87815" w:rsidRDefault="00157175" w:rsidP="00B03D14">
      <w:pPr>
        <w:spacing w:line="276" w:lineRule="auto"/>
        <w:rPr>
          <w:rFonts w:ascii="Arial" w:eastAsia="Calibri" w:hAnsi="Arial" w:cs="Arial"/>
          <w:bCs/>
          <w:iCs/>
          <w:lang w:val="en-IE"/>
        </w:rPr>
      </w:pPr>
      <w:r w:rsidRPr="00E87815">
        <w:rPr>
          <w:rFonts w:ascii="Arial" w:eastAsia="Calibri" w:hAnsi="Arial" w:cs="Arial"/>
          <w:bCs/>
          <w:iCs/>
          <w:lang w:val="en-IE"/>
        </w:rPr>
        <w:t xml:space="preserve">This information note provides general information on the changes </w:t>
      </w:r>
      <w:r w:rsidR="008F55A4" w:rsidRPr="00E87815">
        <w:rPr>
          <w:rFonts w:ascii="Arial" w:eastAsia="Calibri" w:hAnsi="Arial" w:cs="Arial"/>
          <w:bCs/>
          <w:iCs/>
          <w:lang w:val="en-IE"/>
        </w:rPr>
        <w:t>introduced by the 2013 Act to the Act.</w:t>
      </w:r>
      <w:r w:rsidRPr="00E87815">
        <w:rPr>
          <w:rFonts w:ascii="Arial" w:eastAsia="Calibri" w:hAnsi="Arial" w:cs="Arial"/>
          <w:bCs/>
          <w:iCs/>
          <w:lang w:val="en-IE"/>
        </w:rPr>
        <w:t xml:space="preserve"> </w:t>
      </w:r>
      <w:r w:rsidR="009156CB" w:rsidRPr="00E87815">
        <w:rPr>
          <w:rFonts w:ascii="Arial" w:eastAsia="Calibri" w:hAnsi="Arial" w:cs="Arial"/>
          <w:bCs/>
          <w:iCs/>
          <w:lang w:val="en-IE"/>
        </w:rPr>
        <w:t>It</w:t>
      </w:r>
      <w:r w:rsidRPr="00E87815">
        <w:rPr>
          <w:rFonts w:ascii="Arial" w:eastAsia="Calibri" w:hAnsi="Arial" w:cs="Arial"/>
          <w:bCs/>
          <w:iCs/>
          <w:lang w:val="en-IE"/>
        </w:rPr>
        <w:t xml:space="preserve"> is intended to assist trustees and scheme members</w:t>
      </w:r>
      <w:r w:rsidR="009156CB" w:rsidRPr="00E87815">
        <w:rPr>
          <w:rFonts w:ascii="Arial" w:eastAsia="Calibri" w:hAnsi="Arial" w:cs="Arial"/>
          <w:bCs/>
          <w:iCs/>
          <w:lang w:val="en-IE"/>
        </w:rPr>
        <w:t>. It aims to summarise what are complex and technical points of pension legislation</w:t>
      </w:r>
      <w:r w:rsidR="007B5874" w:rsidRPr="00E87815">
        <w:rPr>
          <w:rFonts w:ascii="Arial" w:eastAsia="Calibri" w:hAnsi="Arial" w:cs="Arial"/>
          <w:bCs/>
          <w:iCs/>
          <w:lang w:val="en-IE"/>
        </w:rPr>
        <w:t xml:space="preserve"> </w:t>
      </w:r>
      <w:r w:rsidR="004634AD" w:rsidRPr="00E87815">
        <w:rPr>
          <w:rFonts w:ascii="Arial" w:eastAsia="Calibri" w:hAnsi="Arial" w:cs="Arial"/>
          <w:bCs/>
          <w:iCs/>
          <w:lang w:val="en-IE"/>
        </w:rPr>
        <w:t xml:space="preserve">and </w:t>
      </w:r>
      <w:r w:rsidRPr="00E87815">
        <w:rPr>
          <w:rFonts w:ascii="Arial" w:eastAsia="Calibri" w:hAnsi="Arial" w:cs="Arial"/>
          <w:bCs/>
          <w:iCs/>
          <w:lang w:val="en-IE"/>
        </w:rPr>
        <w:t>should not be taken as legal advice or interpretation</w:t>
      </w:r>
      <w:r w:rsidR="008F55A4" w:rsidRPr="00E87815">
        <w:rPr>
          <w:rFonts w:ascii="Arial" w:eastAsia="Calibri" w:hAnsi="Arial" w:cs="Arial"/>
          <w:bCs/>
          <w:iCs/>
          <w:lang w:val="en-IE"/>
        </w:rPr>
        <w:t>.</w:t>
      </w:r>
      <w:r w:rsidRPr="00E87815">
        <w:rPr>
          <w:rFonts w:ascii="Arial" w:eastAsia="Calibri" w:hAnsi="Arial" w:cs="Arial"/>
          <w:bCs/>
          <w:iCs/>
          <w:lang w:val="en-IE"/>
        </w:rPr>
        <w:t xml:space="preserve"> </w:t>
      </w:r>
      <w:r w:rsidR="008F55A4" w:rsidRPr="00E87815">
        <w:rPr>
          <w:rFonts w:ascii="Arial" w:eastAsia="Calibri" w:hAnsi="Arial" w:cs="Arial"/>
          <w:bCs/>
          <w:iCs/>
          <w:lang w:val="en-IE"/>
        </w:rPr>
        <w:t>It is the responsibility of trustees to ensure that they comply with their statutory obligations.</w:t>
      </w:r>
    </w:p>
    <w:p w14:paraId="1350DB52" w14:textId="77777777" w:rsidR="00FD2A56" w:rsidRPr="00BE156A" w:rsidRDefault="00FD2A56" w:rsidP="00B03D14">
      <w:pPr>
        <w:spacing w:line="276" w:lineRule="auto"/>
        <w:rPr>
          <w:rFonts w:ascii="Arial" w:eastAsia="Calibri" w:hAnsi="Arial" w:cs="Arial"/>
          <w:b/>
          <w:u w:val="single"/>
          <w:lang w:val="en-IE"/>
        </w:rPr>
      </w:pPr>
    </w:p>
    <w:p w14:paraId="1FFA8EAA" w14:textId="76FAAECD" w:rsidR="002C770E" w:rsidRPr="00B03D14" w:rsidRDefault="0024725A" w:rsidP="00B03D14">
      <w:pPr>
        <w:pStyle w:val="Heading3"/>
        <w:rPr>
          <w:lang w:val="en-GB"/>
        </w:rPr>
      </w:pPr>
      <w:r w:rsidRPr="00B03D14">
        <w:rPr>
          <w:lang w:val="en-GB"/>
        </w:rPr>
        <w:t xml:space="preserve">Wind up priority orders under </w:t>
      </w:r>
      <w:r w:rsidR="00E87815" w:rsidRPr="00B03D14">
        <w:rPr>
          <w:lang w:val="en-GB"/>
        </w:rPr>
        <w:t>s</w:t>
      </w:r>
      <w:r w:rsidRPr="00B03D14">
        <w:rPr>
          <w:lang w:val="en-GB"/>
        </w:rPr>
        <w:t>ection 48 of the</w:t>
      </w:r>
      <w:r w:rsidR="00E647C7" w:rsidRPr="00B03D14">
        <w:rPr>
          <w:lang w:val="en-GB"/>
        </w:rPr>
        <w:t xml:space="preserve"> </w:t>
      </w:r>
      <w:r w:rsidRPr="00B03D14">
        <w:rPr>
          <w:lang w:val="en-GB"/>
        </w:rPr>
        <w:t xml:space="preserve">Act </w:t>
      </w:r>
    </w:p>
    <w:p w14:paraId="6A3FDA3C" w14:textId="47AD00FC" w:rsidR="002C770E" w:rsidRDefault="002C770E" w:rsidP="00B03D14">
      <w:pPr>
        <w:spacing w:line="276" w:lineRule="auto"/>
        <w:rPr>
          <w:rFonts w:ascii="Arial" w:eastAsia="Calibri" w:hAnsi="Arial" w:cs="Arial"/>
          <w:lang w:val="en-IE"/>
        </w:rPr>
      </w:pPr>
      <w:r w:rsidRPr="00BE156A">
        <w:rPr>
          <w:rFonts w:ascii="Arial" w:eastAsia="Calibri" w:hAnsi="Arial" w:cs="Arial"/>
          <w:lang w:val="en-IE"/>
        </w:rPr>
        <w:t xml:space="preserve">For all schemes which start to wind up </w:t>
      </w:r>
      <w:r w:rsidR="009D36DB" w:rsidRPr="00BE156A">
        <w:rPr>
          <w:rFonts w:ascii="Arial" w:eastAsia="Calibri" w:hAnsi="Arial" w:cs="Arial"/>
          <w:lang w:val="en-IE"/>
        </w:rPr>
        <w:t xml:space="preserve">on or </w:t>
      </w:r>
      <w:r w:rsidRPr="00BE156A">
        <w:rPr>
          <w:rFonts w:ascii="Arial" w:eastAsia="Calibri" w:hAnsi="Arial" w:cs="Arial"/>
          <w:lang w:val="en-IE"/>
        </w:rPr>
        <w:t xml:space="preserve">after </w:t>
      </w:r>
      <w:r w:rsidR="009D36DB" w:rsidRPr="00BE156A">
        <w:rPr>
          <w:rFonts w:ascii="Arial" w:eastAsia="Calibri" w:hAnsi="Arial" w:cs="Arial"/>
          <w:lang w:val="en-IE"/>
        </w:rPr>
        <w:t>25 December 2013</w:t>
      </w:r>
      <w:r w:rsidRPr="00BE156A">
        <w:rPr>
          <w:rFonts w:ascii="Arial" w:eastAsia="Calibri" w:hAnsi="Arial" w:cs="Arial"/>
          <w:lang w:val="en-IE"/>
        </w:rPr>
        <w:t>, one of two priority orders will apply:</w:t>
      </w:r>
    </w:p>
    <w:p w14:paraId="530B8DCD" w14:textId="77777777" w:rsidR="00E87815" w:rsidRPr="00BE156A" w:rsidRDefault="00E87815" w:rsidP="00B03D14">
      <w:pPr>
        <w:spacing w:line="276" w:lineRule="auto"/>
        <w:rPr>
          <w:rFonts w:ascii="Arial" w:eastAsia="Calibri" w:hAnsi="Arial" w:cs="Arial"/>
          <w:lang w:val="en-IE"/>
        </w:rPr>
      </w:pPr>
    </w:p>
    <w:p w14:paraId="2EA41EC4" w14:textId="77777777" w:rsidR="002C770E" w:rsidRPr="00E87815" w:rsidRDefault="002C770E" w:rsidP="00B03D14">
      <w:pPr>
        <w:pStyle w:val="ListParagraph"/>
        <w:numPr>
          <w:ilvl w:val="0"/>
          <w:numId w:val="15"/>
        </w:numPr>
        <w:spacing w:after="0"/>
        <w:rPr>
          <w:rFonts w:ascii="Arial" w:hAnsi="Arial" w:cs="Arial"/>
          <w:sz w:val="24"/>
          <w:szCs w:val="24"/>
          <w:lang w:val="en-IE"/>
        </w:rPr>
      </w:pPr>
      <w:r w:rsidRPr="00E87815">
        <w:rPr>
          <w:rFonts w:ascii="Arial" w:hAnsi="Arial" w:cs="Arial"/>
          <w:sz w:val="24"/>
          <w:szCs w:val="24"/>
          <w:lang w:val="en-IE"/>
        </w:rPr>
        <w:t xml:space="preserve">The single insolvency order will apply if the scheme’s employer is solvent at the date of wind up. </w:t>
      </w:r>
    </w:p>
    <w:p w14:paraId="693D1F6A" w14:textId="77777777" w:rsidR="002C770E" w:rsidRPr="00E87815" w:rsidRDefault="002C770E" w:rsidP="00B03D14">
      <w:pPr>
        <w:pStyle w:val="ListParagraph"/>
        <w:spacing w:after="0"/>
        <w:ind w:left="360"/>
        <w:rPr>
          <w:rFonts w:ascii="Arial" w:hAnsi="Arial" w:cs="Arial"/>
          <w:sz w:val="24"/>
          <w:szCs w:val="24"/>
          <w:lang w:val="en-IE"/>
        </w:rPr>
      </w:pPr>
    </w:p>
    <w:p w14:paraId="68EB1A05" w14:textId="77777777" w:rsidR="002C770E" w:rsidRPr="00E87815" w:rsidRDefault="002C770E" w:rsidP="00B03D14">
      <w:pPr>
        <w:pStyle w:val="ListParagraph"/>
        <w:numPr>
          <w:ilvl w:val="0"/>
          <w:numId w:val="15"/>
        </w:numPr>
        <w:spacing w:after="0"/>
        <w:rPr>
          <w:rFonts w:ascii="Arial" w:hAnsi="Arial" w:cs="Arial"/>
          <w:sz w:val="24"/>
          <w:szCs w:val="24"/>
          <w:lang w:val="en-IE"/>
        </w:rPr>
      </w:pPr>
      <w:r w:rsidRPr="00E87815">
        <w:rPr>
          <w:rFonts w:ascii="Arial" w:hAnsi="Arial" w:cs="Arial"/>
          <w:sz w:val="24"/>
          <w:szCs w:val="24"/>
          <w:lang w:val="en-IE"/>
        </w:rPr>
        <w:t>The double insolvency order will apply if the scheme’s employer is insolvent at the date of wind up.</w:t>
      </w:r>
      <w:r w:rsidR="00DE2F75" w:rsidRPr="00E87815">
        <w:rPr>
          <w:rStyle w:val="FootnoteReference"/>
          <w:rFonts w:ascii="Arial" w:hAnsi="Arial" w:cs="Arial"/>
          <w:sz w:val="24"/>
          <w:szCs w:val="24"/>
          <w:lang w:val="en-IE"/>
        </w:rPr>
        <w:footnoteReference w:id="1"/>
      </w:r>
      <w:r w:rsidRPr="00E87815">
        <w:rPr>
          <w:rFonts w:ascii="Arial" w:hAnsi="Arial" w:cs="Arial"/>
          <w:sz w:val="24"/>
          <w:szCs w:val="24"/>
          <w:lang w:val="en-IE"/>
        </w:rPr>
        <w:t xml:space="preserve"> In a multi-employer scheme, all participating employers must be insolvent for the double insolvency order to apply.</w:t>
      </w:r>
    </w:p>
    <w:p w14:paraId="1E521CF7" w14:textId="31CE3BBB" w:rsidR="00DE2F75" w:rsidRPr="00BE156A" w:rsidRDefault="009814EF" w:rsidP="00B03D14">
      <w:pPr>
        <w:spacing w:line="276" w:lineRule="auto"/>
        <w:rPr>
          <w:rFonts w:ascii="Arial" w:hAnsi="Arial" w:cs="Arial"/>
          <w:lang w:val="en-IE"/>
        </w:rPr>
      </w:pPr>
      <w:r>
        <w:rPr>
          <w:rFonts w:ascii="Arial" w:hAnsi="Arial" w:cs="Arial"/>
          <w:noProof/>
          <w:lang w:val="en-IE" w:eastAsia="en-IE"/>
        </w:rPr>
        <mc:AlternateContent>
          <mc:Choice Requires="wps">
            <w:drawing>
              <wp:anchor distT="0" distB="0" distL="114300" distR="114300" simplePos="0" relativeHeight="251659264" behindDoc="0" locked="0" layoutInCell="1" allowOverlap="1" wp14:anchorId="12F4AD34" wp14:editId="6BFBB150">
                <wp:simplePos x="0" y="0"/>
                <wp:positionH relativeFrom="column">
                  <wp:posOffset>17780</wp:posOffset>
                </wp:positionH>
                <wp:positionV relativeFrom="paragraph">
                  <wp:posOffset>74930</wp:posOffset>
                </wp:positionV>
                <wp:extent cx="5706745" cy="2676525"/>
                <wp:effectExtent l="0" t="0" r="825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745" cy="2676525"/>
                        </a:xfrm>
                        <a:prstGeom prst="rect">
                          <a:avLst/>
                        </a:prstGeom>
                        <a:solidFill>
                          <a:srgbClr val="FFFFFF"/>
                        </a:solidFill>
                        <a:ln w="9525">
                          <a:solidFill>
                            <a:srgbClr val="000000"/>
                          </a:solidFill>
                          <a:miter lim="800000"/>
                          <a:headEnd/>
                          <a:tailEnd/>
                        </a:ln>
                      </wps:spPr>
                      <wps:txbx>
                        <w:txbxContent>
                          <w:p w14:paraId="1E517651" w14:textId="77777777" w:rsidR="00DC75CF" w:rsidRPr="00E87815" w:rsidRDefault="00DC75CF" w:rsidP="00E87815">
                            <w:pPr>
                              <w:rPr>
                                <w:rFonts w:ascii="Arial" w:hAnsi="Arial" w:cs="Arial"/>
                                <w:b/>
                                <w:sz w:val="22"/>
                                <w:szCs w:val="22"/>
                                <w:lang w:val="en-IE"/>
                              </w:rPr>
                            </w:pPr>
                            <w:r w:rsidRPr="00E87815">
                              <w:rPr>
                                <w:rFonts w:ascii="Arial" w:hAnsi="Arial" w:cs="Arial"/>
                                <w:b/>
                                <w:sz w:val="22"/>
                                <w:szCs w:val="22"/>
                                <w:lang w:val="en-IE"/>
                              </w:rPr>
                              <w:t>Examples</w:t>
                            </w:r>
                          </w:p>
                          <w:p w14:paraId="3634C78F" w14:textId="77777777" w:rsidR="00DC75CF" w:rsidRPr="00E87815" w:rsidRDefault="00DC75CF" w:rsidP="00B03D14">
                            <w:pPr>
                              <w:rPr>
                                <w:rFonts w:ascii="Arial" w:hAnsi="Arial" w:cs="Arial"/>
                                <w:sz w:val="22"/>
                                <w:szCs w:val="22"/>
                                <w:lang w:val="en-IE"/>
                              </w:rPr>
                            </w:pPr>
                          </w:p>
                          <w:p w14:paraId="21D89364" w14:textId="15B742A3" w:rsidR="00DC75CF" w:rsidRPr="00D632B2" w:rsidRDefault="00DC75CF" w:rsidP="00B03D14">
                            <w:pPr>
                              <w:pStyle w:val="ListParagraph"/>
                              <w:numPr>
                                <w:ilvl w:val="0"/>
                                <w:numId w:val="18"/>
                              </w:numPr>
                              <w:spacing w:after="0" w:line="240" w:lineRule="auto"/>
                              <w:ind w:left="360"/>
                              <w:rPr>
                                <w:rFonts w:ascii="Arial" w:hAnsi="Arial" w:cs="Arial"/>
                                <w:lang w:val="en-IE"/>
                              </w:rPr>
                            </w:pPr>
                            <w:r w:rsidRPr="00D632B2">
                              <w:rPr>
                                <w:rFonts w:ascii="Arial" w:hAnsi="Arial" w:cs="Arial"/>
                                <w:lang w:val="en-IE"/>
                              </w:rPr>
                              <w:t xml:space="preserve">The Bloggs pension scheme started to wind up on 24 December 2013. The new </w:t>
                            </w:r>
                            <w:r w:rsidR="00D632B2" w:rsidRPr="00D632B2">
                              <w:rPr>
                                <w:rFonts w:ascii="Arial" w:hAnsi="Arial" w:cs="Arial"/>
                                <w:lang w:val="en-IE"/>
                              </w:rPr>
                              <w:t>wind-up</w:t>
                            </w:r>
                            <w:r w:rsidRPr="00D632B2">
                              <w:rPr>
                                <w:rFonts w:ascii="Arial" w:hAnsi="Arial" w:cs="Arial"/>
                                <w:lang w:val="en-IE"/>
                              </w:rPr>
                              <w:t xml:space="preserve"> priority orders do not apply to this scheme.</w:t>
                            </w:r>
                          </w:p>
                          <w:p w14:paraId="0C9B2006" w14:textId="77777777" w:rsidR="00DC75CF" w:rsidRPr="00DE2F75" w:rsidRDefault="00DC75CF" w:rsidP="00B03D14">
                            <w:pPr>
                              <w:rPr>
                                <w:rFonts w:ascii="Arial" w:hAnsi="Arial" w:cs="Arial"/>
                                <w:sz w:val="22"/>
                                <w:szCs w:val="22"/>
                                <w:lang w:val="en-IE"/>
                              </w:rPr>
                            </w:pPr>
                          </w:p>
                          <w:p w14:paraId="36283E9A" w14:textId="105FD138" w:rsidR="00DC75CF" w:rsidRPr="00D632B2" w:rsidRDefault="00DC75CF" w:rsidP="00B03D14">
                            <w:pPr>
                              <w:pStyle w:val="ListParagraph"/>
                              <w:numPr>
                                <w:ilvl w:val="0"/>
                                <w:numId w:val="18"/>
                              </w:numPr>
                              <w:spacing w:after="0" w:line="240" w:lineRule="auto"/>
                              <w:ind w:left="360"/>
                            </w:pPr>
                            <w:r w:rsidRPr="00D632B2">
                              <w:rPr>
                                <w:rFonts w:ascii="Arial" w:hAnsi="Arial" w:cs="Arial"/>
                                <w:lang w:val="en-IE"/>
                              </w:rPr>
                              <w:t xml:space="preserve">The Murphy pension scheme started to wind up on 24 December 2013 but had not started to pay out the benefits on 25 December 2013. The new </w:t>
                            </w:r>
                            <w:r w:rsidR="00D632B2" w:rsidRPr="00D632B2">
                              <w:rPr>
                                <w:rFonts w:ascii="Arial" w:hAnsi="Arial" w:cs="Arial"/>
                                <w:lang w:val="en-IE"/>
                              </w:rPr>
                              <w:t>wind-up</w:t>
                            </w:r>
                            <w:r w:rsidRPr="00D632B2">
                              <w:rPr>
                                <w:rFonts w:ascii="Arial" w:hAnsi="Arial" w:cs="Arial"/>
                                <w:lang w:val="en-IE"/>
                              </w:rPr>
                              <w:t xml:space="preserve"> priority orders do not apply to this scheme.</w:t>
                            </w:r>
                          </w:p>
                          <w:p w14:paraId="40F66B2B" w14:textId="77777777" w:rsidR="00DC75CF" w:rsidRPr="00DE2F75" w:rsidRDefault="00DC75CF" w:rsidP="00B03D14">
                            <w:pPr>
                              <w:rPr>
                                <w:rFonts w:ascii="Arial" w:hAnsi="Arial" w:cs="Arial"/>
                                <w:sz w:val="22"/>
                                <w:szCs w:val="22"/>
                                <w:lang w:val="en-IE"/>
                              </w:rPr>
                            </w:pPr>
                          </w:p>
                          <w:p w14:paraId="487A2690" w14:textId="77777777" w:rsidR="00DC75CF" w:rsidRPr="00D632B2" w:rsidRDefault="00DC75CF" w:rsidP="00B03D14">
                            <w:pPr>
                              <w:pStyle w:val="ListParagraph"/>
                              <w:numPr>
                                <w:ilvl w:val="0"/>
                                <w:numId w:val="18"/>
                              </w:numPr>
                              <w:spacing w:after="0" w:line="240" w:lineRule="auto"/>
                              <w:ind w:left="360"/>
                              <w:rPr>
                                <w:rFonts w:ascii="Arial" w:hAnsi="Arial" w:cs="Arial"/>
                                <w:lang w:val="en-IE"/>
                              </w:rPr>
                            </w:pPr>
                            <w:r w:rsidRPr="00D632B2">
                              <w:rPr>
                                <w:rFonts w:ascii="Arial" w:hAnsi="Arial" w:cs="Arial"/>
                                <w:lang w:val="en-IE"/>
                              </w:rPr>
                              <w:t>The Smith pension scheme started to wind up on 26 December 2013. The Smith company was solvent at that date. The single insolvency priority order applies to this scheme.</w:t>
                            </w:r>
                          </w:p>
                          <w:p w14:paraId="11264944" w14:textId="77777777" w:rsidR="00DC75CF" w:rsidRPr="00DE2F75" w:rsidRDefault="00DC75CF" w:rsidP="00B03D14">
                            <w:pPr>
                              <w:rPr>
                                <w:rFonts w:ascii="Arial" w:hAnsi="Arial" w:cs="Arial"/>
                                <w:sz w:val="22"/>
                                <w:szCs w:val="22"/>
                                <w:lang w:val="en-IE"/>
                              </w:rPr>
                            </w:pPr>
                          </w:p>
                          <w:p w14:paraId="04D57F36" w14:textId="77777777" w:rsidR="00DC75CF" w:rsidRPr="00D632B2" w:rsidRDefault="00DC75CF" w:rsidP="00B03D14">
                            <w:pPr>
                              <w:pStyle w:val="ListParagraph"/>
                              <w:numPr>
                                <w:ilvl w:val="0"/>
                                <w:numId w:val="18"/>
                              </w:numPr>
                              <w:spacing w:after="0" w:line="240" w:lineRule="auto"/>
                              <w:ind w:left="360"/>
                              <w:rPr>
                                <w:rFonts w:ascii="Arial" w:hAnsi="Arial" w:cs="Arial"/>
                                <w:lang w:val="en-IE"/>
                              </w:rPr>
                            </w:pPr>
                            <w:r w:rsidRPr="00D632B2">
                              <w:rPr>
                                <w:rFonts w:ascii="Arial" w:hAnsi="Arial" w:cs="Arial"/>
                                <w:lang w:val="en-IE"/>
                              </w:rPr>
                              <w:t>The Jones pension scheme started to wind up on 26 December 2013. The Jones company was insolvent on 26 December 2013. The double insolvency priority order applies to this scheme.</w:t>
                            </w:r>
                          </w:p>
                          <w:p w14:paraId="0D7DF55D" w14:textId="77777777" w:rsidR="00DC75CF" w:rsidRPr="00DE2F75" w:rsidRDefault="00DC75CF" w:rsidP="006C290C">
                            <w:pPr>
                              <w:jc w:val="both"/>
                              <w:rPr>
                                <w:rFonts w:ascii="Arial" w:hAnsi="Arial" w:cs="Arial"/>
                                <w:sz w:val="22"/>
                                <w:szCs w:val="22"/>
                                <w:lang w:val="en-I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F4AD34" id="_x0000_s1027" type="#_x0000_t202" style="position:absolute;margin-left:1.4pt;margin-top:5.9pt;width:449.35pt;height:21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">
                <v:textbox>
                  <w:txbxContent>
                    <w:p w14:paraId="1E517651" w14:textId="77777777" w:rsidR="00DC75CF" w:rsidRPr="00E87815" w:rsidRDefault="00DC75CF" w:rsidP="00E87815">
                      <w:pPr>
                        <w:rPr>
                          <w:rFonts w:ascii="Arial" w:hAnsi="Arial" w:cs="Arial"/>
                          <w:b/>
                          <w:sz w:val="22"/>
                          <w:szCs w:val="22"/>
                          <w:lang w:val="en-IE"/>
                        </w:rPr>
                      </w:pPr>
                      <w:r w:rsidRPr="00E87815">
                        <w:rPr>
                          <w:rFonts w:ascii="Arial" w:hAnsi="Arial" w:cs="Arial"/>
                          <w:b/>
                          <w:sz w:val="22"/>
                          <w:szCs w:val="22"/>
                          <w:lang w:val="en-IE"/>
                        </w:rPr>
                        <w:t>Examples</w:t>
                      </w:r>
                    </w:p>
                    <w:p w14:paraId="3634C78F" w14:textId="77777777" w:rsidR="00DC75CF" w:rsidRPr="00E87815" w:rsidRDefault="00DC75CF" w:rsidP="00B03D14">
                      <w:pPr>
                        <w:rPr>
                          <w:rFonts w:ascii="Arial" w:hAnsi="Arial" w:cs="Arial"/>
                          <w:sz w:val="22"/>
                          <w:szCs w:val="22"/>
                          <w:lang w:val="en-IE"/>
                        </w:rPr>
                      </w:pPr>
                    </w:p>
                    <w:p w14:paraId="21D89364" w14:textId="15B742A3" w:rsidR="00DC75CF" w:rsidRPr="00D632B2" w:rsidRDefault="00DC75CF" w:rsidP="00B03D14">
                      <w:pPr>
                        <w:pStyle w:val="ListParagraph"/>
                        <w:numPr>
                          <w:ilvl w:val="0"/>
                          <w:numId w:val="18"/>
                        </w:numPr>
                        <w:spacing w:after="0" w:line="240" w:lineRule="auto"/>
                        <w:ind w:left="360"/>
                        <w:rPr>
                          <w:rFonts w:ascii="Arial" w:hAnsi="Arial" w:cs="Arial"/>
                          <w:lang w:val="en-IE"/>
                        </w:rPr>
                      </w:pPr>
                      <w:r w:rsidRPr="00D632B2">
                        <w:rPr>
                          <w:rFonts w:ascii="Arial" w:hAnsi="Arial" w:cs="Arial"/>
                          <w:lang w:val="en-IE"/>
                        </w:rPr>
                        <w:t xml:space="preserve">The Bloggs pension scheme started to wind up on 24 December 2013. The new </w:t>
                      </w:r>
                      <w:r w:rsidR="00D632B2" w:rsidRPr="00D632B2">
                        <w:rPr>
                          <w:rFonts w:ascii="Arial" w:hAnsi="Arial" w:cs="Arial"/>
                          <w:lang w:val="en-IE"/>
                        </w:rPr>
                        <w:t>wind-up</w:t>
                      </w:r>
                      <w:r w:rsidRPr="00D632B2">
                        <w:rPr>
                          <w:rFonts w:ascii="Arial" w:hAnsi="Arial" w:cs="Arial"/>
                          <w:lang w:val="en-IE"/>
                        </w:rPr>
                        <w:t xml:space="preserve"> priority orders do not apply to this scheme.</w:t>
                      </w:r>
                    </w:p>
                    <w:p w14:paraId="0C9B2006" w14:textId="77777777" w:rsidR="00DC75CF" w:rsidRPr="00DE2F75" w:rsidRDefault="00DC75CF" w:rsidP="00B03D14">
                      <w:pPr>
                        <w:rPr>
                          <w:rFonts w:ascii="Arial" w:hAnsi="Arial" w:cs="Arial"/>
                          <w:sz w:val="22"/>
                          <w:szCs w:val="22"/>
                          <w:lang w:val="en-IE"/>
                        </w:rPr>
                      </w:pPr>
                    </w:p>
                    <w:p w14:paraId="36283E9A" w14:textId="105FD138" w:rsidR="00DC75CF" w:rsidRPr="00D632B2" w:rsidRDefault="00DC75CF" w:rsidP="00B03D14">
                      <w:pPr>
                        <w:pStyle w:val="ListParagraph"/>
                        <w:numPr>
                          <w:ilvl w:val="0"/>
                          <w:numId w:val="18"/>
                        </w:numPr>
                        <w:spacing w:after="0" w:line="240" w:lineRule="auto"/>
                        <w:ind w:left="360"/>
                      </w:pPr>
                      <w:r w:rsidRPr="00D632B2">
                        <w:rPr>
                          <w:rFonts w:ascii="Arial" w:hAnsi="Arial" w:cs="Arial"/>
                          <w:lang w:val="en-IE"/>
                        </w:rPr>
                        <w:t xml:space="preserve">The Murphy pension scheme started to wind up on 24 December 2013 but had not started to pay out the benefits on 25 December 2013. The new </w:t>
                      </w:r>
                      <w:r w:rsidR="00D632B2" w:rsidRPr="00D632B2">
                        <w:rPr>
                          <w:rFonts w:ascii="Arial" w:hAnsi="Arial" w:cs="Arial"/>
                          <w:lang w:val="en-IE"/>
                        </w:rPr>
                        <w:t>wind-up</w:t>
                      </w:r>
                      <w:r w:rsidRPr="00D632B2">
                        <w:rPr>
                          <w:rFonts w:ascii="Arial" w:hAnsi="Arial" w:cs="Arial"/>
                          <w:lang w:val="en-IE"/>
                        </w:rPr>
                        <w:t xml:space="preserve"> priority orders do not apply to this scheme.</w:t>
                      </w:r>
                    </w:p>
                    <w:p w14:paraId="40F66B2B" w14:textId="77777777" w:rsidR="00DC75CF" w:rsidRPr="00DE2F75" w:rsidRDefault="00DC75CF" w:rsidP="00B03D14">
                      <w:pPr>
                        <w:rPr>
                          <w:rFonts w:ascii="Arial" w:hAnsi="Arial" w:cs="Arial"/>
                          <w:sz w:val="22"/>
                          <w:szCs w:val="22"/>
                          <w:lang w:val="en-IE"/>
                        </w:rPr>
                      </w:pPr>
                    </w:p>
                    <w:p w14:paraId="487A2690" w14:textId="77777777" w:rsidR="00DC75CF" w:rsidRPr="00D632B2" w:rsidRDefault="00DC75CF" w:rsidP="00B03D14">
                      <w:pPr>
                        <w:pStyle w:val="ListParagraph"/>
                        <w:numPr>
                          <w:ilvl w:val="0"/>
                          <w:numId w:val="18"/>
                        </w:numPr>
                        <w:spacing w:after="0" w:line="240" w:lineRule="auto"/>
                        <w:ind w:left="360"/>
                        <w:rPr>
                          <w:rFonts w:ascii="Arial" w:hAnsi="Arial" w:cs="Arial"/>
                          <w:lang w:val="en-IE"/>
                        </w:rPr>
                      </w:pPr>
                      <w:r w:rsidRPr="00D632B2">
                        <w:rPr>
                          <w:rFonts w:ascii="Arial" w:hAnsi="Arial" w:cs="Arial"/>
                          <w:lang w:val="en-IE"/>
                        </w:rPr>
                        <w:t>The Smith pension scheme started to wind up on 26 December 2013. The Smith company was solvent at that date. The single insolvency priority order applies to this scheme.</w:t>
                      </w:r>
                    </w:p>
                    <w:p w14:paraId="11264944" w14:textId="77777777" w:rsidR="00DC75CF" w:rsidRPr="00DE2F75" w:rsidRDefault="00DC75CF" w:rsidP="00B03D14">
                      <w:pPr>
                        <w:rPr>
                          <w:rFonts w:ascii="Arial" w:hAnsi="Arial" w:cs="Arial"/>
                          <w:sz w:val="22"/>
                          <w:szCs w:val="22"/>
                          <w:lang w:val="en-IE"/>
                        </w:rPr>
                      </w:pPr>
                    </w:p>
                    <w:p w14:paraId="04D57F36" w14:textId="77777777" w:rsidR="00DC75CF" w:rsidRPr="00D632B2" w:rsidRDefault="00DC75CF" w:rsidP="00B03D14">
                      <w:pPr>
                        <w:pStyle w:val="ListParagraph"/>
                        <w:numPr>
                          <w:ilvl w:val="0"/>
                          <w:numId w:val="18"/>
                        </w:numPr>
                        <w:spacing w:after="0" w:line="240" w:lineRule="auto"/>
                        <w:ind w:left="360"/>
                        <w:rPr>
                          <w:rFonts w:ascii="Arial" w:hAnsi="Arial" w:cs="Arial"/>
                          <w:lang w:val="en-IE"/>
                        </w:rPr>
                      </w:pPr>
                      <w:r w:rsidRPr="00D632B2">
                        <w:rPr>
                          <w:rFonts w:ascii="Arial" w:hAnsi="Arial" w:cs="Arial"/>
                          <w:lang w:val="en-IE"/>
                        </w:rPr>
                        <w:t>The Jones pension scheme started to wind up on 26 December 2013. The Jones company was insolvent on 26 December 2013. The double insolvency priority order applies to this scheme.</w:t>
                      </w:r>
                    </w:p>
                    <w:p w14:paraId="0D7DF55D" w14:textId="77777777" w:rsidR="00DC75CF" w:rsidRPr="00DE2F75" w:rsidRDefault="00DC75CF" w:rsidP="006C290C">
                      <w:pPr>
                        <w:jc w:val="both"/>
                        <w:rPr>
                          <w:rFonts w:ascii="Arial" w:hAnsi="Arial" w:cs="Arial"/>
                          <w:sz w:val="22"/>
                          <w:szCs w:val="22"/>
                          <w:lang w:val="en-IE"/>
                        </w:rPr>
                      </w:pPr>
                    </w:p>
                  </w:txbxContent>
                </v:textbox>
              </v:shape>
            </w:pict>
          </mc:Fallback>
        </mc:AlternateContent>
      </w:r>
    </w:p>
    <w:p w14:paraId="4F2DFFD4" w14:textId="3A36D2F2" w:rsidR="006C290C" w:rsidRPr="00BE156A" w:rsidRDefault="006C290C" w:rsidP="00B03D14">
      <w:pPr>
        <w:spacing w:line="276" w:lineRule="auto"/>
        <w:rPr>
          <w:rFonts w:ascii="Arial" w:hAnsi="Arial" w:cs="Arial"/>
          <w:lang w:val="en-IE"/>
        </w:rPr>
      </w:pPr>
    </w:p>
    <w:p w14:paraId="32BC4886" w14:textId="77777777" w:rsidR="006C290C" w:rsidRPr="00BE156A" w:rsidRDefault="006C290C" w:rsidP="00B03D14">
      <w:pPr>
        <w:spacing w:line="276" w:lineRule="auto"/>
        <w:rPr>
          <w:rFonts w:ascii="Arial" w:hAnsi="Arial" w:cs="Arial"/>
          <w:lang w:val="en-IE"/>
        </w:rPr>
      </w:pPr>
    </w:p>
    <w:p w14:paraId="7C3714B8" w14:textId="77777777" w:rsidR="006C290C" w:rsidRPr="00BE156A" w:rsidRDefault="006C290C" w:rsidP="00B03D14">
      <w:pPr>
        <w:spacing w:line="276" w:lineRule="auto"/>
        <w:rPr>
          <w:rFonts w:ascii="Arial" w:hAnsi="Arial" w:cs="Arial"/>
          <w:lang w:val="en-IE"/>
        </w:rPr>
      </w:pPr>
    </w:p>
    <w:p w14:paraId="6822C117" w14:textId="77777777" w:rsidR="006C290C" w:rsidRPr="00BE156A" w:rsidRDefault="006C290C" w:rsidP="00B03D14">
      <w:pPr>
        <w:spacing w:line="276" w:lineRule="auto"/>
        <w:rPr>
          <w:rFonts w:ascii="Arial" w:hAnsi="Arial" w:cs="Arial"/>
          <w:lang w:val="en-IE"/>
        </w:rPr>
      </w:pPr>
    </w:p>
    <w:p w14:paraId="18567F14" w14:textId="77777777" w:rsidR="006C290C" w:rsidRPr="00BE156A" w:rsidRDefault="006C290C" w:rsidP="00B03D14">
      <w:pPr>
        <w:spacing w:line="276" w:lineRule="auto"/>
        <w:rPr>
          <w:rFonts w:ascii="Arial" w:hAnsi="Arial" w:cs="Arial"/>
          <w:lang w:val="en-IE"/>
        </w:rPr>
      </w:pPr>
    </w:p>
    <w:p w14:paraId="4955CF13" w14:textId="77777777" w:rsidR="002C770E" w:rsidRPr="00BE156A" w:rsidRDefault="002C770E" w:rsidP="00B03D14">
      <w:pPr>
        <w:spacing w:line="276" w:lineRule="auto"/>
        <w:rPr>
          <w:rFonts w:ascii="Arial" w:hAnsi="Arial" w:cs="Arial"/>
          <w:lang w:val="en-IE"/>
        </w:rPr>
      </w:pPr>
    </w:p>
    <w:p w14:paraId="7BF5D734" w14:textId="77777777" w:rsidR="006C290C" w:rsidRPr="00BE156A" w:rsidRDefault="006C290C" w:rsidP="00B03D14">
      <w:pPr>
        <w:spacing w:line="276" w:lineRule="auto"/>
        <w:rPr>
          <w:rFonts w:ascii="Arial" w:eastAsia="Calibri" w:hAnsi="Arial" w:cs="Arial"/>
          <w:u w:val="single"/>
          <w:lang w:val="en-IE"/>
        </w:rPr>
      </w:pPr>
    </w:p>
    <w:p w14:paraId="214DD4C9" w14:textId="77777777" w:rsidR="006C290C" w:rsidRPr="00BE156A" w:rsidRDefault="006C290C" w:rsidP="00B03D14">
      <w:pPr>
        <w:spacing w:line="276" w:lineRule="auto"/>
        <w:rPr>
          <w:rFonts w:ascii="Arial" w:eastAsia="Calibri" w:hAnsi="Arial" w:cs="Arial"/>
          <w:u w:val="single"/>
          <w:lang w:val="en-IE"/>
        </w:rPr>
      </w:pPr>
    </w:p>
    <w:p w14:paraId="41E8F644" w14:textId="77777777" w:rsidR="006C290C" w:rsidRPr="00BE156A" w:rsidRDefault="006C290C" w:rsidP="00B03D14">
      <w:pPr>
        <w:spacing w:line="276" w:lineRule="auto"/>
        <w:rPr>
          <w:rFonts w:ascii="Arial" w:eastAsia="Calibri" w:hAnsi="Arial" w:cs="Arial"/>
          <w:u w:val="single"/>
          <w:lang w:val="en-IE"/>
        </w:rPr>
      </w:pPr>
    </w:p>
    <w:p w14:paraId="213C60FA" w14:textId="77777777" w:rsidR="00D65E07" w:rsidRPr="00BE156A" w:rsidRDefault="00D65E07" w:rsidP="00B03D14">
      <w:pPr>
        <w:spacing w:line="276" w:lineRule="auto"/>
        <w:rPr>
          <w:rFonts w:ascii="Arial" w:eastAsia="Calibri" w:hAnsi="Arial" w:cs="Arial"/>
          <w:u w:val="single"/>
          <w:lang w:val="en-IE"/>
        </w:rPr>
      </w:pPr>
    </w:p>
    <w:p w14:paraId="24611B3B" w14:textId="77777777" w:rsidR="00D65E07" w:rsidRPr="00BE156A" w:rsidRDefault="00D65E07" w:rsidP="00B03D14">
      <w:pPr>
        <w:spacing w:line="276" w:lineRule="auto"/>
        <w:rPr>
          <w:rFonts w:ascii="Arial" w:eastAsia="Calibri" w:hAnsi="Arial" w:cs="Arial"/>
          <w:u w:val="single"/>
          <w:lang w:val="en-IE"/>
        </w:rPr>
      </w:pPr>
    </w:p>
    <w:p w14:paraId="3C5E7A0E" w14:textId="77777777" w:rsidR="00D65E07" w:rsidRPr="00BE156A" w:rsidRDefault="00D65E07" w:rsidP="00B03D14">
      <w:pPr>
        <w:spacing w:line="276" w:lineRule="auto"/>
        <w:rPr>
          <w:rFonts w:ascii="Arial" w:eastAsia="Calibri" w:hAnsi="Arial" w:cs="Arial"/>
          <w:u w:val="single"/>
          <w:lang w:val="en-IE"/>
        </w:rPr>
      </w:pPr>
    </w:p>
    <w:p w14:paraId="52209CE9" w14:textId="3E3F8CF7" w:rsidR="002C770E" w:rsidRPr="00E87815" w:rsidRDefault="00C501FB" w:rsidP="00B03D14">
      <w:pPr>
        <w:pStyle w:val="Heading3"/>
        <w:rPr>
          <w:rFonts w:eastAsia="Calibri" w:cs="Arial"/>
          <w:b w:val="0"/>
          <w:sz w:val="32"/>
          <w:szCs w:val="32"/>
          <w:lang w:val="en-IE"/>
        </w:rPr>
      </w:pPr>
      <w:r w:rsidRPr="00BE156A">
        <w:rPr>
          <w:rFonts w:eastAsia="Calibri" w:cs="Arial"/>
          <w:lang w:val="en-IE"/>
        </w:rPr>
        <w:br w:type="page"/>
      </w:r>
      <w:r w:rsidR="002C770E" w:rsidRPr="00B03D14">
        <w:rPr>
          <w:lang w:val="en-GB"/>
        </w:rPr>
        <w:lastRenderedPageBreak/>
        <w:t xml:space="preserve">Single </w:t>
      </w:r>
      <w:r w:rsidR="00F817C7" w:rsidRPr="00B03D14">
        <w:rPr>
          <w:lang w:val="en-GB"/>
        </w:rPr>
        <w:t>i</w:t>
      </w:r>
      <w:r w:rsidR="002C770E" w:rsidRPr="00B03D14">
        <w:rPr>
          <w:lang w:val="en-GB"/>
        </w:rPr>
        <w:t xml:space="preserve">nsolvency </w:t>
      </w:r>
      <w:r w:rsidR="00F817C7" w:rsidRPr="00B03D14">
        <w:rPr>
          <w:lang w:val="en-GB"/>
        </w:rPr>
        <w:t>o</w:t>
      </w:r>
      <w:r w:rsidR="002C770E" w:rsidRPr="00B03D14">
        <w:rPr>
          <w:lang w:val="en-GB"/>
        </w:rPr>
        <w:t>rder</w:t>
      </w:r>
    </w:p>
    <w:p w14:paraId="48306C23" w14:textId="60D8FE0A" w:rsidR="002C770E" w:rsidRDefault="002C770E" w:rsidP="00B03D14">
      <w:pPr>
        <w:spacing w:line="276" w:lineRule="auto"/>
        <w:rPr>
          <w:rFonts w:ascii="Arial" w:eastAsia="Calibri" w:hAnsi="Arial" w:cs="Arial"/>
          <w:lang w:val="en-IE"/>
        </w:rPr>
      </w:pPr>
      <w:r w:rsidRPr="00BE156A">
        <w:rPr>
          <w:rFonts w:ascii="Arial" w:eastAsia="Calibri" w:hAnsi="Arial" w:cs="Arial"/>
          <w:lang w:val="en-IE"/>
        </w:rPr>
        <w:t>Benefits will be distributed in the following order of priority:</w:t>
      </w:r>
    </w:p>
    <w:p w14:paraId="7F96A47D" w14:textId="77777777" w:rsidR="00E87815" w:rsidRPr="00BE156A" w:rsidRDefault="00E87815" w:rsidP="00B03D14">
      <w:pPr>
        <w:spacing w:line="276" w:lineRule="auto"/>
        <w:rPr>
          <w:rFonts w:ascii="Arial" w:eastAsia="Calibri" w:hAnsi="Arial" w:cs="Arial"/>
          <w:lang w:val="en-IE"/>
        </w:rPr>
      </w:pPr>
    </w:p>
    <w:p w14:paraId="7E8999B5" w14:textId="2AB21E78" w:rsidR="00D632B2" w:rsidRPr="00D632B2" w:rsidRDefault="002C770E" w:rsidP="00B03D14">
      <w:pPr>
        <w:pStyle w:val="ListParagraph"/>
        <w:numPr>
          <w:ilvl w:val="0"/>
          <w:numId w:val="16"/>
        </w:numPr>
        <w:spacing w:after="0"/>
        <w:ind w:left="714" w:hanging="357"/>
        <w:rPr>
          <w:rFonts w:ascii="Arial" w:hAnsi="Arial" w:cs="Arial"/>
          <w:sz w:val="24"/>
          <w:szCs w:val="24"/>
          <w:lang w:val="en-IE"/>
        </w:rPr>
      </w:pPr>
      <w:r w:rsidRPr="00D632B2">
        <w:rPr>
          <w:rFonts w:ascii="Arial" w:hAnsi="Arial" w:cs="Arial"/>
          <w:sz w:val="24"/>
          <w:szCs w:val="24"/>
          <w:lang w:val="en-IE"/>
        </w:rPr>
        <w:t>Additional voluntary contributions (AVCs) and transfers in of AVCs; and</w:t>
      </w:r>
      <w:r w:rsidR="00D632B2" w:rsidRPr="00D632B2">
        <w:rPr>
          <w:rFonts w:ascii="Arial" w:hAnsi="Arial" w:cs="Arial"/>
          <w:sz w:val="24"/>
          <w:szCs w:val="24"/>
          <w:lang w:val="en-IE"/>
        </w:rPr>
        <w:t xml:space="preserve"> </w:t>
      </w:r>
      <w:r w:rsidRPr="00D632B2">
        <w:rPr>
          <w:rFonts w:ascii="Arial" w:hAnsi="Arial" w:cs="Arial"/>
          <w:sz w:val="24"/>
          <w:szCs w:val="24"/>
          <w:lang w:val="en-IE"/>
        </w:rPr>
        <w:t>defined contribution (DC) benefits and transfers in of DC benefits.</w:t>
      </w:r>
    </w:p>
    <w:p w14:paraId="7A313C87" w14:textId="520F06D5" w:rsidR="002C770E" w:rsidRPr="00D632B2" w:rsidRDefault="002C770E" w:rsidP="00B03D14">
      <w:pPr>
        <w:pStyle w:val="ListParagraph"/>
        <w:numPr>
          <w:ilvl w:val="0"/>
          <w:numId w:val="16"/>
        </w:numPr>
        <w:spacing w:after="0"/>
        <w:ind w:left="714" w:hanging="357"/>
        <w:rPr>
          <w:rFonts w:ascii="Arial" w:hAnsi="Arial" w:cs="Arial"/>
          <w:sz w:val="24"/>
          <w:szCs w:val="24"/>
          <w:lang w:val="en-IE"/>
        </w:rPr>
      </w:pPr>
      <w:r w:rsidRPr="00D632B2">
        <w:rPr>
          <w:rFonts w:ascii="Arial" w:hAnsi="Arial" w:cs="Arial"/>
          <w:sz w:val="24"/>
          <w:szCs w:val="24"/>
          <w:lang w:val="en-IE"/>
        </w:rPr>
        <w:t xml:space="preserve">Pensioner benefits (excluding post-retirement increases), in accordance with the following </w:t>
      </w:r>
      <w:r w:rsidR="007551E7" w:rsidRPr="00D632B2">
        <w:rPr>
          <w:rFonts w:ascii="Arial" w:hAnsi="Arial" w:cs="Arial"/>
          <w:sz w:val="24"/>
          <w:szCs w:val="24"/>
          <w:lang w:val="en-IE"/>
        </w:rPr>
        <w:t>limit</w:t>
      </w:r>
      <w:r w:rsidRPr="00D632B2">
        <w:rPr>
          <w:rFonts w:ascii="Arial" w:hAnsi="Arial" w:cs="Arial"/>
          <w:sz w:val="24"/>
          <w:szCs w:val="24"/>
          <w:lang w:val="en-IE"/>
        </w:rPr>
        <w:t>s:</w:t>
      </w:r>
    </w:p>
    <w:p w14:paraId="4DEBFF3A" w14:textId="77777777" w:rsidR="002C770E" w:rsidRPr="00BE156A" w:rsidRDefault="002C770E" w:rsidP="00B03D14">
      <w:pPr>
        <w:spacing w:line="276" w:lineRule="auto"/>
        <w:ind w:left="1800"/>
        <w:contextualSpacing/>
        <w:rPr>
          <w:rFonts w:ascii="Arial" w:eastAsia="Calibri" w:hAnsi="Arial" w:cs="Arial"/>
          <w:lang w:val="en-IE"/>
        </w:rPr>
      </w:pPr>
    </w:p>
    <w:p w14:paraId="71AB3B65" w14:textId="45D3F05D" w:rsidR="002C770E" w:rsidRPr="00D632B2" w:rsidRDefault="002C770E" w:rsidP="00B03D14">
      <w:pPr>
        <w:pStyle w:val="ListParagraph"/>
        <w:numPr>
          <w:ilvl w:val="0"/>
          <w:numId w:val="17"/>
        </w:numPr>
        <w:spacing w:after="0"/>
        <w:ind w:left="1071" w:hanging="357"/>
        <w:rPr>
          <w:rFonts w:ascii="Arial" w:hAnsi="Arial" w:cs="Arial"/>
          <w:sz w:val="24"/>
          <w:szCs w:val="24"/>
          <w:lang w:val="en-IE"/>
        </w:rPr>
      </w:pPr>
      <w:r w:rsidRPr="00D632B2">
        <w:rPr>
          <w:rFonts w:ascii="Arial" w:hAnsi="Arial" w:cs="Arial"/>
          <w:sz w:val="24"/>
          <w:szCs w:val="24"/>
          <w:lang w:val="en-IE"/>
        </w:rPr>
        <w:t>if the annual pension is €12,000 or less, 100% of the pension</w:t>
      </w:r>
      <w:r w:rsidR="00D632B2">
        <w:rPr>
          <w:rFonts w:ascii="Arial" w:hAnsi="Arial" w:cs="Arial"/>
          <w:sz w:val="24"/>
          <w:szCs w:val="24"/>
          <w:lang w:val="en-IE"/>
        </w:rPr>
        <w:t>,</w:t>
      </w:r>
    </w:p>
    <w:p w14:paraId="51127E09" w14:textId="48B207C8" w:rsidR="002C770E" w:rsidRPr="00D632B2" w:rsidRDefault="002C770E" w:rsidP="00B03D14">
      <w:pPr>
        <w:pStyle w:val="ListParagraph"/>
        <w:numPr>
          <w:ilvl w:val="0"/>
          <w:numId w:val="17"/>
        </w:numPr>
        <w:spacing w:after="0"/>
        <w:ind w:left="1071" w:hanging="357"/>
        <w:rPr>
          <w:rFonts w:ascii="Arial" w:hAnsi="Arial" w:cs="Arial"/>
          <w:sz w:val="24"/>
          <w:szCs w:val="24"/>
          <w:lang w:val="en-IE"/>
        </w:rPr>
      </w:pPr>
      <w:r w:rsidRPr="00D632B2">
        <w:rPr>
          <w:rFonts w:ascii="Arial" w:hAnsi="Arial" w:cs="Arial"/>
          <w:sz w:val="24"/>
          <w:szCs w:val="24"/>
          <w:lang w:val="en-IE"/>
        </w:rPr>
        <w:t>if the annual pension is more than €12,000 and less than €60,000, the greater of €12,000 and 90% of the pension</w:t>
      </w:r>
      <w:r w:rsidR="00D632B2">
        <w:rPr>
          <w:rFonts w:ascii="Arial" w:hAnsi="Arial" w:cs="Arial"/>
          <w:sz w:val="24"/>
          <w:szCs w:val="24"/>
          <w:lang w:val="en-IE"/>
        </w:rPr>
        <w:t>,</w:t>
      </w:r>
      <w:r w:rsidRPr="00D632B2">
        <w:rPr>
          <w:rFonts w:ascii="Arial" w:hAnsi="Arial" w:cs="Arial"/>
          <w:sz w:val="24"/>
          <w:szCs w:val="24"/>
          <w:lang w:val="en-IE"/>
        </w:rPr>
        <w:t xml:space="preserve"> and</w:t>
      </w:r>
    </w:p>
    <w:p w14:paraId="4D7A1249" w14:textId="77777777" w:rsidR="002C770E" w:rsidRPr="00D632B2" w:rsidRDefault="002C770E" w:rsidP="00B03D14">
      <w:pPr>
        <w:pStyle w:val="ListParagraph"/>
        <w:numPr>
          <w:ilvl w:val="0"/>
          <w:numId w:val="17"/>
        </w:numPr>
        <w:spacing w:after="0"/>
        <w:ind w:left="1071" w:hanging="357"/>
        <w:rPr>
          <w:rFonts w:ascii="Arial" w:hAnsi="Arial" w:cs="Arial"/>
          <w:sz w:val="24"/>
          <w:szCs w:val="24"/>
          <w:lang w:val="en-IE"/>
        </w:rPr>
      </w:pPr>
      <w:r w:rsidRPr="00D632B2">
        <w:rPr>
          <w:rFonts w:ascii="Arial" w:hAnsi="Arial" w:cs="Arial"/>
          <w:sz w:val="24"/>
          <w:szCs w:val="24"/>
          <w:lang w:val="en-IE"/>
        </w:rPr>
        <w:t>if the annual pension is €60,000 or more, the greater of €54,000 and 80% of the pension.</w:t>
      </w:r>
    </w:p>
    <w:p w14:paraId="5F1C4D63" w14:textId="77777777" w:rsidR="002C770E" w:rsidRPr="00BE156A" w:rsidRDefault="002C770E" w:rsidP="00B03D14">
      <w:pPr>
        <w:spacing w:line="276" w:lineRule="auto"/>
        <w:ind w:left="720"/>
        <w:contextualSpacing/>
        <w:rPr>
          <w:rFonts w:ascii="Arial" w:eastAsia="Calibri" w:hAnsi="Arial" w:cs="Arial"/>
          <w:lang w:val="en-IE"/>
        </w:rPr>
      </w:pPr>
    </w:p>
    <w:p w14:paraId="5BD1CB1F" w14:textId="77777777" w:rsidR="002C770E" w:rsidRPr="00BE156A" w:rsidRDefault="002C770E" w:rsidP="00B03D14">
      <w:pPr>
        <w:numPr>
          <w:ilvl w:val="0"/>
          <w:numId w:val="16"/>
        </w:numPr>
        <w:spacing w:line="276" w:lineRule="auto"/>
        <w:contextualSpacing/>
        <w:rPr>
          <w:rFonts w:ascii="Arial" w:eastAsia="Calibri" w:hAnsi="Arial" w:cs="Arial"/>
          <w:lang w:val="en-IE"/>
        </w:rPr>
      </w:pPr>
      <w:r w:rsidRPr="00BE156A">
        <w:rPr>
          <w:rFonts w:ascii="Arial" w:eastAsia="Calibri" w:hAnsi="Arial" w:cs="Arial"/>
          <w:lang w:val="en-IE"/>
        </w:rPr>
        <w:t>50% of active and deferred benefits, excluding post-retirement increases.</w:t>
      </w:r>
    </w:p>
    <w:p w14:paraId="78BD9E89" w14:textId="77777777" w:rsidR="002C770E" w:rsidRPr="00BE156A" w:rsidRDefault="002C770E" w:rsidP="00B03D14">
      <w:pPr>
        <w:numPr>
          <w:ilvl w:val="0"/>
          <w:numId w:val="16"/>
        </w:numPr>
        <w:spacing w:line="276" w:lineRule="auto"/>
        <w:contextualSpacing/>
        <w:rPr>
          <w:rFonts w:ascii="Arial" w:eastAsia="Calibri" w:hAnsi="Arial" w:cs="Arial"/>
          <w:lang w:val="en-IE"/>
        </w:rPr>
      </w:pPr>
      <w:r w:rsidRPr="00BE156A">
        <w:rPr>
          <w:rFonts w:ascii="Arial" w:eastAsia="Calibri" w:hAnsi="Arial" w:cs="Arial"/>
          <w:lang w:val="en-IE"/>
        </w:rPr>
        <w:t>Remaining pensioner benefits, excluding post-retirement increases.</w:t>
      </w:r>
    </w:p>
    <w:p w14:paraId="1DEB5008" w14:textId="77777777" w:rsidR="002C770E" w:rsidRPr="00BE156A" w:rsidRDefault="002C770E" w:rsidP="00B03D14">
      <w:pPr>
        <w:numPr>
          <w:ilvl w:val="0"/>
          <w:numId w:val="16"/>
        </w:numPr>
        <w:spacing w:line="276" w:lineRule="auto"/>
        <w:contextualSpacing/>
        <w:rPr>
          <w:rFonts w:ascii="Arial" w:eastAsia="Calibri" w:hAnsi="Arial" w:cs="Arial"/>
          <w:lang w:val="en-IE"/>
        </w:rPr>
      </w:pPr>
      <w:r w:rsidRPr="00BE156A">
        <w:rPr>
          <w:rFonts w:ascii="Arial" w:eastAsia="Calibri" w:hAnsi="Arial" w:cs="Arial"/>
          <w:lang w:val="en-IE"/>
        </w:rPr>
        <w:t>Remaining active and deferred benefits, excluding post-retirement increases.</w:t>
      </w:r>
    </w:p>
    <w:p w14:paraId="67267EE2" w14:textId="392F8562" w:rsidR="002C770E" w:rsidRPr="00BE156A" w:rsidRDefault="00E73638" w:rsidP="00B03D14">
      <w:pPr>
        <w:numPr>
          <w:ilvl w:val="0"/>
          <w:numId w:val="16"/>
        </w:numPr>
        <w:spacing w:line="276" w:lineRule="auto"/>
        <w:contextualSpacing/>
        <w:rPr>
          <w:rFonts w:ascii="Arial" w:eastAsia="Calibri" w:hAnsi="Arial" w:cs="Arial"/>
          <w:lang w:val="en-IE"/>
        </w:rPr>
      </w:pPr>
      <w:r w:rsidRPr="00BE156A">
        <w:rPr>
          <w:rFonts w:ascii="Arial" w:eastAsia="Calibri" w:hAnsi="Arial" w:cs="Arial"/>
          <w:lang w:val="en-IE"/>
        </w:rPr>
        <w:t>Any r</w:t>
      </w:r>
      <w:r w:rsidR="002C770E" w:rsidRPr="00BE156A">
        <w:rPr>
          <w:rFonts w:ascii="Arial" w:eastAsia="Calibri" w:hAnsi="Arial" w:cs="Arial"/>
          <w:lang w:val="en-IE"/>
        </w:rPr>
        <w:t>emaining benefits, including post-retirement increases.</w:t>
      </w:r>
    </w:p>
    <w:p w14:paraId="4ADE977E" w14:textId="77777777" w:rsidR="007B5874" w:rsidRPr="00BE156A" w:rsidRDefault="007B5874" w:rsidP="00B03D14">
      <w:pPr>
        <w:spacing w:line="276" w:lineRule="auto"/>
        <w:ind w:left="360"/>
        <w:rPr>
          <w:rFonts w:ascii="Arial" w:eastAsia="Calibri" w:hAnsi="Arial" w:cs="Arial"/>
          <w:lang w:val="en-IE"/>
        </w:rPr>
      </w:pPr>
    </w:p>
    <w:p w14:paraId="58668C1F" w14:textId="77777777" w:rsidR="00B31310" w:rsidRPr="009D6C46" w:rsidRDefault="007B5874" w:rsidP="00B03D14">
      <w:pPr>
        <w:spacing w:line="276" w:lineRule="auto"/>
        <w:rPr>
          <w:rFonts w:ascii="Arial" w:hAnsi="Arial" w:cs="Arial"/>
          <w:iCs/>
          <w:lang w:val="en-IE"/>
        </w:rPr>
      </w:pPr>
      <w:r w:rsidRPr="009D6C46">
        <w:rPr>
          <w:rFonts w:ascii="Arial" w:eastAsia="Calibri" w:hAnsi="Arial" w:cs="Arial"/>
          <w:iCs/>
          <w:lang w:val="en-IE"/>
        </w:rPr>
        <w:t xml:space="preserve">N.B. </w:t>
      </w:r>
      <w:r w:rsidR="0006457D" w:rsidRPr="009D6C46">
        <w:rPr>
          <w:rFonts w:ascii="Arial" w:eastAsia="Calibri" w:hAnsi="Arial" w:cs="Arial"/>
          <w:iCs/>
          <w:lang w:val="en-IE"/>
        </w:rPr>
        <w:t>The benefits</w:t>
      </w:r>
      <w:r w:rsidRPr="009D6C46">
        <w:rPr>
          <w:rFonts w:ascii="Arial" w:eastAsia="Calibri" w:hAnsi="Arial" w:cs="Arial"/>
          <w:iCs/>
          <w:lang w:val="en-IE"/>
        </w:rPr>
        <w:t xml:space="preserve"> </w:t>
      </w:r>
      <w:r w:rsidR="0006457D" w:rsidRPr="009D6C46">
        <w:rPr>
          <w:rFonts w:ascii="Arial" w:eastAsia="Calibri" w:hAnsi="Arial" w:cs="Arial"/>
          <w:iCs/>
          <w:lang w:val="en-IE"/>
        </w:rPr>
        <w:t xml:space="preserve">which scheme members receive in a wind up </w:t>
      </w:r>
      <w:r w:rsidRPr="009D6C46">
        <w:rPr>
          <w:rFonts w:ascii="Arial" w:eastAsia="Calibri" w:hAnsi="Arial" w:cs="Arial"/>
          <w:iCs/>
          <w:lang w:val="en-IE"/>
        </w:rPr>
        <w:t>will depend upon the scheme assets which are available for distribution.</w:t>
      </w:r>
    </w:p>
    <w:p w14:paraId="711A68CF" w14:textId="2CEFCB10" w:rsidR="002C770E" w:rsidRPr="00BE156A" w:rsidRDefault="002C770E" w:rsidP="00B03D14">
      <w:pPr>
        <w:pStyle w:val="ListParagraph"/>
        <w:spacing w:after="0"/>
        <w:rPr>
          <w:rFonts w:ascii="Arial" w:hAnsi="Arial" w:cs="Arial"/>
          <w:sz w:val="24"/>
          <w:szCs w:val="24"/>
          <w:u w:val="single"/>
          <w:lang w:val="en-IE"/>
        </w:rPr>
      </w:pPr>
    </w:p>
    <w:p w14:paraId="1D33CE74" w14:textId="064DF597" w:rsidR="006C290C" w:rsidRPr="00BE156A" w:rsidRDefault="00F817C7" w:rsidP="00B03D14">
      <w:pPr>
        <w:spacing w:line="276" w:lineRule="auto"/>
        <w:rPr>
          <w:rFonts w:ascii="Arial" w:eastAsia="Calibri" w:hAnsi="Arial" w:cs="Arial"/>
          <w:u w:val="single"/>
          <w:lang w:val="en-IE"/>
        </w:rPr>
      </w:pPr>
      <w:r>
        <w:rPr>
          <w:rFonts w:ascii="Arial" w:hAnsi="Arial" w:cs="Arial"/>
          <w:noProof/>
          <w:u w:val="single"/>
          <w:lang w:val="en-IE" w:eastAsia="en-IE"/>
        </w:rPr>
        <mc:AlternateContent>
          <mc:Choice Requires="wps">
            <w:drawing>
              <wp:anchor distT="0" distB="0" distL="114300" distR="114300" simplePos="0" relativeHeight="251661312" behindDoc="0" locked="0" layoutInCell="1" allowOverlap="1" wp14:anchorId="4FA558F0" wp14:editId="77D34DFC">
                <wp:simplePos x="0" y="0"/>
                <wp:positionH relativeFrom="margin">
                  <wp:align>left</wp:align>
                </wp:positionH>
                <wp:positionV relativeFrom="paragraph">
                  <wp:posOffset>10795</wp:posOffset>
                </wp:positionV>
                <wp:extent cx="5562600" cy="40386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4038600"/>
                        </a:xfrm>
                        <a:prstGeom prst="rect">
                          <a:avLst/>
                        </a:prstGeom>
                        <a:solidFill>
                          <a:srgbClr val="FFFFFF"/>
                        </a:solidFill>
                        <a:ln w="9525">
                          <a:solidFill>
                            <a:srgbClr val="000000"/>
                          </a:solidFill>
                          <a:miter lim="800000"/>
                          <a:headEnd/>
                          <a:tailEnd/>
                        </a:ln>
                      </wps:spPr>
                      <wps:txbx>
                        <w:txbxContent>
                          <w:p w14:paraId="4B12551D" w14:textId="77777777" w:rsidR="00DC75CF" w:rsidRPr="00D632B2" w:rsidRDefault="00DC75CF" w:rsidP="00D632B2">
                            <w:pPr>
                              <w:rPr>
                                <w:rFonts w:ascii="Arial" w:hAnsi="Arial" w:cs="Arial"/>
                                <w:b/>
                                <w:sz w:val="22"/>
                                <w:szCs w:val="22"/>
                                <w:lang w:val="en-IE"/>
                              </w:rPr>
                            </w:pPr>
                            <w:r w:rsidRPr="00D632B2">
                              <w:rPr>
                                <w:rFonts w:ascii="Arial" w:hAnsi="Arial" w:cs="Arial"/>
                                <w:b/>
                                <w:sz w:val="22"/>
                                <w:szCs w:val="22"/>
                                <w:lang w:val="en-IE"/>
                              </w:rPr>
                              <w:t>Examples</w:t>
                            </w:r>
                          </w:p>
                          <w:p w14:paraId="195805BD" w14:textId="77777777" w:rsidR="00DC75CF" w:rsidRPr="00D632B2" w:rsidRDefault="00DC75CF" w:rsidP="006C290C">
                            <w:pPr>
                              <w:jc w:val="center"/>
                              <w:rPr>
                                <w:rFonts w:ascii="Arial" w:hAnsi="Arial" w:cs="Arial"/>
                                <w:b/>
                                <w:sz w:val="22"/>
                                <w:szCs w:val="22"/>
                                <w:lang w:val="en-IE"/>
                              </w:rPr>
                            </w:pPr>
                          </w:p>
                          <w:p w14:paraId="60E0F315" w14:textId="77777777" w:rsidR="00DC75CF" w:rsidRPr="00D632B2" w:rsidRDefault="00DC75CF" w:rsidP="00B03D14">
                            <w:pPr>
                              <w:rPr>
                                <w:rFonts w:ascii="Arial" w:hAnsi="Arial" w:cs="Arial"/>
                                <w:sz w:val="22"/>
                                <w:szCs w:val="22"/>
                                <w:lang w:val="en-IE"/>
                              </w:rPr>
                            </w:pPr>
                            <w:r w:rsidRPr="00D632B2">
                              <w:rPr>
                                <w:rFonts w:ascii="Arial" w:hAnsi="Arial" w:cs="Arial"/>
                                <w:sz w:val="22"/>
                                <w:szCs w:val="22"/>
                                <w:lang w:val="en-IE"/>
                              </w:rPr>
                              <w:t xml:space="preserve">The Smith pension scheme is underfunded and can cover only priorities 1 to 3. John, Mary and Tom are all pensioner members of this scheme. Cara is a deferred member of this scheme.  </w:t>
                            </w:r>
                          </w:p>
                          <w:p w14:paraId="19A92AFB" w14:textId="77777777" w:rsidR="00D632B2" w:rsidRDefault="00D632B2" w:rsidP="00B03D14">
                            <w:pPr>
                              <w:rPr>
                                <w:rFonts w:ascii="Arial" w:hAnsi="Arial" w:cs="Arial"/>
                                <w:sz w:val="22"/>
                                <w:szCs w:val="22"/>
                                <w:lang w:val="en-IE"/>
                              </w:rPr>
                            </w:pPr>
                          </w:p>
                          <w:p w14:paraId="43E79792" w14:textId="4A32CB2C" w:rsidR="00DC75CF" w:rsidRPr="00D632B2" w:rsidRDefault="00DC75CF" w:rsidP="00B03D14">
                            <w:pPr>
                              <w:rPr>
                                <w:rFonts w:ascii="Arial" w:hAnsi="Arial" w:cs="Arial"/>
                                <w:sz w:val="22"/>
                                <w:szCs w:val="22"/>
                                <w:lang w:val="en-IE"/>
                              </w:rPr>
                            </w:pPr>
                            <w:r w:rsidRPr="00D632B2">
                              <w:rPr>
                                <w:rFonts w:ascii="Arial" w:hAnsi="Arial" w:cs="Arial"/>
                                <w:sz w:val="22"/>
                                <w:szCs w:val="22"/>
                                <w:lang w:val="en-IE"/>
                              </w:rPr>
                              <w:t xml:space="preserve">John is receiving a pension of €11,000 per year. After the wind up, John will continue to receive a pension of €11,000 per year under priority 2. Any post-retirement increases payable to John after the date of wind up are not covered. </w:t>
                            </w:r>
                          </w:p>
                          <w:p w14:paraId="26AEA2EB" w14:textId="77777777" w:rsidR="00DC75CF" w:rsidRPr="00D632B2" w:rsidRDefault="00DC75CF" w:rsidP="00B03D14">
                            <w:pPr>
                              <w:pStyle w:val="ListParagraph"/>
                              <w:spacing w:after="0"/>
                              <w:ind w:left="0"/>
                              <w:rPr>
                                <w:rFonts w:ascii="Arial" w:hAnsi="Arial" w:cs="Arial"/>
                                <w:lang w:val="en-IE"/>
                              </w:rPr>
                            </w:pPr>
                          </w:p>
                          <w:p w14:paraId="14ACD3E9" w14:textId="7011269F" w:rsidR="00DC75CF" w:rsidRPr="00D632B2" w:rsidRDefault="00DC75CF" w:rsidP="00B03D14">
                            <w:pPr>
                              <w:rPr>
                                <w:rFonts w:ascii="Arial" w:hAnsi="Arial" w:cs="Arial"/>
                                <w:sz w:val="22"/>
                                <w:szCs w:val="22"/>
                                <w:lang w:val="en-IE"/>
                              </w:rPr>
                            </w:pPr>
                            <w:r w:rsidRPr="00D632B2">
                              <w:rPr>
                                <w:rFonts w:ascii="Arial" w:hAnsi="Arial" w:cs="Arial"/>
                                <w:sz w:val="22"/>
                                <w:szCs w:val="22"/>
                                <w:lang w:val="en-IE"/>
                              </w:rPr>
                              <w:t>Mary is receiving a pension of €15,000 per year. After the wind up, Mary will receive a pension of €13,500 per year under priority 2. This is the greater of €12,000 and 90% of her current pension (</w:t>
                            </w:r>
                            <w:r w:rsidR="00D632B2" w:rsidRPr="00D632B2">
                              <w:rPr>
                                <w:rFonts w:ascii="Arial" w:hAnsi="Arial" w:cs="Arial"/>
                                <w:sz w:val="22"/>
                                <w:szCs w:val="22"/>
                                <w:lang w:val="en-IE"/>
                              </w:rPr>
                              <w:t>i.e.,</w:t>
                            </w:r>
                            <w:r w:rsidRPr="00D632B2">
                              <w:rPr>
                                <w:rFonts w:ascii="Arial" w:hAnsi="Arial" w:cs="Arial"/>
                                <w:sz w:val="22"/>
                                <w:szCs w:val="22"/>
                                <w:lang w:val="en-IE"/>
                              </w:rPr>
                              <w:t xml:space="preserve"> €13,500). Any post-retirement increases payable to Mary after the date of wind up are not covered.</w:t>
                            </w:r>
                          </w:p>
                          <w:p w14:paraId="454A5082" w14:textId="77777777" w:rsidR="00DC75CF" w:rsidRPr="00D632B2" w:rsidRDefault="00DC75CF" w:rsidP="00B03D14">
                            <w:pPr>
                              <w:pStyle w:val="ListParagraph"/>
                              <w:spacing w:after="0"/>
                              <w:ind w:left="0"/>
                              <w:rPr>
                                <w:rFonts w:ascii="Arial" w:hAnsi="Arial" w:cs="Arial"/>
                                <w:lang w:val="en-IE"/>
                              </w:rPr>
                            </w:pPr>
                          </w:p>
                          <w:p w14:paraId="4EFF7447" w14:textId="2650B0CE" w:rsidR="00DC75CF" w:rsidRPr="00D632B2" w:rsidRDefault="00DC75CF" w:rsidP="00B03D14">
                            <w:pPr>
                              <w:rPr>
                                <w:rFonts w:ascii="Arial" w:hAnsi="Arial" w:cs="Arial"/>
                                <w:sz w:val="22"/>
                                <w:szCs w:val="22"/>
                                <w:lang w:val="en-IE"/>
                              </w:rPr>
                            </w:pPr>
                            <w:r w:rsidRPr="00D632B2">
                              <w:rPr>
                                <w:rFonts w:ascii="Arial" w:hAnsi="Arial" w:cs="Arial"/>
                                <w:sz w:val="22"/>
                                <w:szCs w:val="22"/>
                                <w:lang w:val="en-IE"/>
                              </w:rPr>
                              <w:t>Tom is receiving a pension of €62,000 per year. After the wind up, Tom will receive a pension of €54,000 per year under priority 2. This is the greater of €54,000 and 80% of his current pension (</w:t>
                            </w:r>
                            <w:r w:rsidR="00D632B2" w:rsidRPr="00D632B2">
                              <w:rPr>
                                <w:rFonts w:ascii="Arial" w:hAnsi="Arial" w:cs="Arial"/>
                                <w:sz w:val="22"/>
                                <w:szCs w:val="22"/>
                                <w:lang w:val="en-IE"/>
                              </w:rPr>
                              <w:t>i.e.,</w:t>
                            </w:r>
                            <w:r w:rsidRPr="00D632B2">
                              <w:rPr>
                                <w:rFonts w:ascii="Arial" w:hAnsi="Arial" w:cs="Arial"/>
                                <w:sz w:val="22"/>
                                <w:szCs w:val="22"/>
                                <w:lang w:val="en-IE"/>
                              </w:rPr>
                              <w:t xml:space="preserve"> €49,600). Any post-retirement increases payable to Tom after the date of wind up are not covered.</w:t>
                            </w:r>
                          </w:p>
                          <w:p w14:paraId="391C9498" w14:textId="77777777" w:rsidR="00DC75CF" w:rsidRPr="00D632B2" w:rsidRDefault="00DC75CF" w:rsidP="00B03D14">
                            <w:pPr>
                              <w:pStyle w:val="ListParagraph"/>
                              <w:spacing w:after="0"/>
                              <w:ind w:left="0"/>
                              <w:rPr>
                                <w:rFonts w:ascii="Arial" w:hAnsi="Arial" w:cs="Arial"/>
                                <w:lang w:val="en-IE"/>
                              </w:rPr>
                            </w:pPr>
                          </w:p>
                          <w:p w14:paraId="187D6C07" w14:textId="77777777" w:rsidR="00DC75CF" w:rsidRPr="00D632B2" w:rsidRDefault="00DC75CF" w:rsidP="00B03D14">
                            <w:pPr>
                              <w:rPr>
                                <w:rFonts w:ascii="Arial" w:hAnsi="Arial" w:cs="Arial"/>
                                <w:sz w:val="22"/>
                                <w:szCs w:val="22"/>
                                <w:lang w:val="en-IE"/>
                              </w:rPr>
                            </w:pPr>
                            <w:r w:rsidRPr="00D632B2">
                              <w:rPr>
                                <w:rFonts w:ascii="Arial" w:hAnsi="Arial" w:cs="Arial"/>
                                <w:sz w:val="22"/>
                                <w:szCs w:val="22"/>
                                <w:lang w:val="en-IE"/>
                              </w:rPr>
                              <w:t>Cara is a deferred member with a preserved benefit of €20,000 per year. After the wind up, Cara will receive a transfer value in respect of €10,000 per year under priority 3. Any post-retirement increases payable to her after the date of wind up are not covered.</w:t>
                            </w:r>
                          </w:p>
                          <w:p w14:paraId="1EA61619" w14:textId="77777777" w:rsidR="00DC75CF" w:rsidRPr="00D632B2" w:rsidRDefault="00DC75CF" w:rsidP="00DE2F75">
                            <w:pPr>
                              <w:pStyle w:val="ListParagraph"/>
                              <w:jc w:val="both"/>
                              <w:rPr>
                                <w:rFonts w:ascii="Arial" w:hAnsi="Arial" w:cs="Arial"/>
                                <w:lang w:val="en-IE"/>
                              </w:rPr>
                            </w:pPr>
                          </w:p>
                          <w:p w14:paraId="64AA707B" w14:textId="77777777" w:rsidR="00DC75CF" w:rsidRPr="00D632B2" w:rsidRDefault="00DC75CF" w:rsidP="006C290C">
                            <w:pPr>
                              <w:jc w:val="center"/>
                              <w:rPr>
                                <w:rFonts w:ascii="Arial" w:hAnsi="Arial" w:cs="Arial"/>
                                <w:b/>
                                <w:sz w:val="22"/>
                                <w:szCs w:val="22"/>
                                <w:lang w:val="en-IE"/>
                              </w:rPr>
                            </w:pPr>
                            <w:r w:rsidRPr="00D632B2">
                              <w:rPr>
                                <w:rFonts w:ascii="Arial" w:hAnsi="Arial" w:cs="Arial"/>
                                <w:b/>
                                <w:sz w:val="22"/>
                                <w:szCs w:val="22"/>
                                <w:lang w:val="en-I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A558F0" id="_x0000_s1028" type="#_x0000_t202" style="position:absolute;margin-left:0;margin-top:.85pt;width:438pt;height:318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">
                <v:textbox>
                  <w:txbxContent>
                    <w:p w14:paraId="4B12551D" w14:textId="77777777" w:rsidR="00DC75CF" w:rsidRPr="00D632B2" w:rsidRDefault="00DC75CF" w:rsidP="00D632B2">
                      <w:pPr>
                        <w:rPr>
                          <w:rFonts w:ascii="Arial" w:hAnsi="Arial" w:cs="Arial"/>
                          <w:b/>
                          <w:sz w:val="22"/>
                          <w:szCs w:val="22"/>
                          <w:lang w:val="en-IE"/>
                        </w:rPr>
                      </w:pPr>
                      <w:r w:rsidRPr="00D632B2">
                        <w:rPr>
                          <w:rFonts w:ascii="Arial" w:hAnsi="Arial" w:cs="Arial"/>
                          <w:b/>
                          <w:sz w:val="22"/>
                          <w:szCs w:val="22"/>
                          <w:lang w:val="en-IE"/>
                        </w:rPr>
                        <w:t>Examples</w:t>
                      </w:r>
                    </w:p>
                    <w:p w14:paraId="195805BD" w14:textId="77777777" w:rsidR="00DC75CF" w:rsidRPr="00D632B2" w:rsidRDefault="00DC75CF" w:rsidP="006C290C">
                      <w:pPr>
                        <w:jc w:val="center"/>
                        <w:rPr>
                          <w:rFonts w:ascii="Arial" w:hAnsi="Arial" w:cs="Arial"/>
                          <w:b/>
                          <w:sz w:val="22"/>
                          <w:szCs w:val="22"/>
                          <w:lang w:val="en-IE"/>
                        </w:rPr>
                      </w:pPr>
                    </w:p>
                    <w:p w14:paraId="60E0F315" w14:textId="77777777" w:rsidR="00DC75CF" w:rsidRPr="00D632B2" w:rsidRDefault="00DC75CF" w:rsidP="00B03D14">
                      <w:pPr>
                        <w:rPr>
                          <w:rFonts w:ascii="Arial" w:hAnsi="Arial" w:cs="Arial"/>
                          <w:sz w:val="22"/>
                          <w:szCs w:val="22"/>
                          <w:lang w:val="en-IE"/>
                        </w:rPr>
                      </w:pPr>
                      <w:r w:rsidRPr="00D632B2">
                        <w:rPr>
                          <w:rFonts w:ascii="Arial" w:hAnsi="Arial" w:cs="Arial"/>
                          <w:sz w:val="22"/>
                          <w:szCs w:val="22"/>
                          <w:lang w:val="en-IE"/>
                        </w:rPr>
                        <w:t xml:space="preserve">The Smith pension scheme is underfunded and can cover only priorities 1 to 3. John, Mary and Tom are all pensioner members of this scheme. Cara is a deferred member of this scheme.  </w:t>
                      </w:r>
                    </w:p>
                    <w:p w14:paraId="19A92AFB" w14:textId="77777777" w:rsidR="00D632B2" w:rsidRDefault="00D632B2" w:rsidP="00B03D14">
                      <w:pPr>
                        <w:rPr>
                          <w:rFonts w:ascii="Arial" w:hAnsi="Arial" w:cs="Arial"/>
                          <w:sz w:val="22"/>
                          <w:szCs w:val="22"/>
                          <w:lang w:val="en-IE"/>
                        </w:rPr>
                      </w:pPr>
                    </w:p>
                    <w:p w14:paraId="43E79792" w14:textId="4A32CB2C" w:rsidR="00DC75CF" w:rsidRPr="00D632B2" w:rsidRDefault="00DC75CF" w:rsidP="00B03D14">
                      <w:pPr>
                        <w:rPr>
                          <w:rFonts w:ascii="Arial" w:hAnsi="Arial" w:cs="Arial"/>
                          <w:sz w:val="22"/>
                          <w:szCs w:val="22"/>
                          <w:lang w:val="en-IE"/>
                        </w:rPr>
                      </w:pPr>
                      <w:r w:rsidRPr="00D632B2">
                        <w:rPr>
                          <w:rFonts w:ascii="Arial" w:hAnsi="Arial" w:cs="Arial"/>
                          <w:sz w:val="22"/>
                          <w:szCs w:val="22"/>
                          <w:lang w:val="en-IE"/>
                        </w:rPr>
                        <w:t xml:space="preserve">John is receiving a pension of €11,000 per year. After the wind up, John will continue to receive a pension of €11,000 per year under priority 2. Any post-retirement increases payable to John after the date of wind up are not covered. </w:t>
                      </w:r>
                    </w:p>
                    <w:p w14:paraId="26AEA2EB" w14:textId="77777777" w:rsidR="00DC75CF" w:rsidRPr="00D632B2" w:rsidRDefault="00DC75CF" w:rsidP="00B03D14">
                      <w:pPr>
                        <w:pStyle w:val="ListParagraph"/>
                        <w:spacing w:after="0"/>
                        <w:ind w:left="0"/>
                        <w:rPr>
                          <w:rFonts w:ascii="Arial" w:hAnsi="Arial" w:cs="Arial"/>
                          <w:lang w:val="en-IE"/>
                        </w:rPr>
                      </w:pPr>
                    </w:p>
                    <w:p w14:paraId="14ACD3E9" w14:textId="7011269F" w:rsidR="00DC75CF" w:rsidRPr="00D632B2" w:rsidRDefault="00DC75CF" w:rsidP="00B03D14">
                      <w:pPr>
                        <w:rPr>
                          <w:rFonts w:ascii="Arial" w:hAnsi="Arial" w:cs="Arial"/>
                          <w:sz w:val="22"/>
                          <w:szCs w:val="22"/>
                          <w:lang w:val="en-IE"/>
                        </w:rPr>
                      </w:pPr>
                      <w:r w:rsidRPr="00D632B2">
                        <w:rPr>
                          <w:rFonts w:ascii="Arial" w:hAnsi="Arial" w:cs="Arial"/>
                          <w:sz w:val="22"/>
                          <w:szCs w:val="22"/>
                          <w:lang w:val="en-IE"/>
                        </w:rPr>
                        <w:t>Mary is receiving a pension of €15,000 per year. After the wind up, Mary will receive a pension of €13,500 per year under priority 2. This is the greater of €12,000 and 90% of her current pension (</w:t>
                      </w:r>
                      <w:r w:rsidR="00D632B2" w:rsidRPr="00D632B2">
                        <w:rPr>
                          <w:rFonts w:ascii="Arial" w:hAnsi="Arial" w:cs="Arial"/>
                          <w:sz w:val="22"/>
                          <w:szCs w:val="22"/>
                          <w:lang w:val="en-IE"/>
                        </w:rPr>
                        <w:t>i.e.,</w:t>
                      </w:r>
                      <w:r w:rsidRPr="00D632B2">
                        <w:rPr>
                          <w:rFonts w:ascii="Arial" w:hAnsi="Arial" w:cs="Arial"/>
                          <w:sz w:val="22"/>
                          <w:szCs w:val="22"/>
                          <w:lang w:val="en-IE"/>
                        </w:rPr>
                        <w:t xml:space="preserve"> €13,500). Any post-retirement increases payable to Mary after the date of wind up are not covered.</w:t>
                      </w:r>
                    </w:p>
                    <w:p w14:paraId="454A5082" w14:textId="77777777" w:rsidR="00DC75CF" w:rsidRPr="00D632B2" w:rsidRDefault="00DC75CF" w:rsidP="00B03D14">
                      <w:pPr>
                        <w:pStyle w:val="ListParagraph"/>
                        <w:spacing w:after="0"/>
                        <w:ind w:left="0"/>
                        <w:rPr>
                          <w:rFonts w:ascii="Arial" w:hAnsi="Arial" w:cs="Arial"/>
                          <w:lang w:val="en-IE"/>
                        </w:rPr>
                      </w:pPr>
                    </w:p>
                    <w:p w14:paraId="4EFF7447" w14:textId="2650B0CE" w:rsidR="00DC75CF" w:rsidRPr="00D632B2" w:rsidRDefault="00DC75CF" w:rsidP="00B03D14">
                      <w:pPr>
                        <w:rPr>
                          <w:rFonts w:ascii="Arial" w:hAnsi="Arial" w:cs="Arial"/>
                          <w:sz w:val="22"/>
                          <w:szCs w:val="22"/>
                          <w:lang w:val="en-IE"/>
                        </w:rPr>
                      </w:pPr>
                      <w:r w:rsidRPr="00D632B2">
                        <w:rPr>
                          <w:rFonts w:ascii="Arial" w:hAnsi="Arial" w:cs="Arial"/>
                          <w:sz w:val="22"/>
                          <w:szCs w:val="22"/>
                          <w:lang w:val="en-IE"/>
                        </w:rPr>
                        <w:t>Tom is receiving a pension of €62,000 per year. After the wind up, Tom will receive a pension of €54,000 per year under priority 2. This is the greater of €54,000 and 80% of his current pension (</w:t>
                      </w:r>
                      <w:r w:rsidR="00D632B2" w:rsidRPr="00D632B2">
                        <w:rPr>
                          <w:rFonts w:ascii="Arial" w:hAnsi="Arial" w:cs="Arial"/>
                          <w:sz w:val="22"/>
                          <w:szCs w:val="22"/>
                          <w:lang w:val="en-IE"/>
                        </w:rPr>
                        <w:t>i.e.,</w:t>
                      </w:r>
                      <w:r w:rsidRPr="00D632B2">
                        <w:rPr>
                          <w:rFonts w:ascii="Arial" w:hAnsi="Arial" w:cs="Arial"/>
                          <w:sz w:val="22"/>
                          <w:szCs w:val="22"/>
                          <w:lang w:val="en-IE"/>
                        </w:rPr>
                        <w:t xml:space="preserve"> €49,600). Any post-retirement increases payable to Tom after the date of wind up are not covered.</w:t>
                      </w:r>
                    </w:p>
                    <w:p w14:paraId="391C9498" w14:textId="77777777" w:rsidR="00DC75CF" w:rsidRPr="00D632B2" w:rsidRDefault="00DC75CF" w:rsidP="00B03D14">
                      <w:pPr>
                        <w:pStyle w:val="ListParagraph"/>
                        <w:spacing w:after="0"/>
                        <w:ind w:left="0"/>
                        <w:rPr>
                          <w:rFonts w:ascii="Arial" w:hAnsi="Arial" w:cs="Arial"/>
                          <w:lang w:val="en-IE"/>
                        </w:rPr>
                      </w:pPr>
                    </w:p>
                    <w:p w14:paraId="187D6C07" w14:textId="77777777" w:rsidR="00DC75CF" w:rsidRPr="00D632B2" w:rsidRDefault="00DC75CF" w:rsidP="00B03D14">
                      <w:pPr>
                        <w:rPr>
                          <w:rFonts w:ascii="Arial" w:hAnsi="Arial" w:cs="Arial"/>
                          <w:sz w:val="22"/>
                          <w:szCs w:val="22"/>
                          <w:lang w:val="en-IE"/>
                        </w:rPr>
                      </w:pPr>
                      <w:r w:rsidRPr="00D632B2">
                        <w:rPr>
                          <w:rFonts w:ascii="Arial" w:hAnsi="Arial" w:cs="Arial"/>
                          <w:sz w:val="22"/>
                          <w:szCs w:val="22"/>
                          <w:lang w:val="en-IE"/>
                        </w:rPr>
                        <w:t>Cara is a deferred member with a preserved benefit of €20,000 per year. After the wind up, Cara will receive a transfer value in respect of €10,000 per year under priority 3. Any post-retirement increases payable to her after the date of wind up are not covered.</w:t>
                      </w:r>
                    </w:p>
                    <w:p w14:paraId="1EA61619" w14:textId="77777777" w:rsidR="00DC75CF" w:rsidRPr="00D632B2" w:rsidRDefault="00DC75CF" w:rsidP="00DE2F75">
                      <w:pPr>
                        <w:pStyle w:val="ListParagraph"/>
                        <w:jc w:val="both"/>
                        <w:rPr>
                          <w:rFonts w:ascii="Arial" w:hAnsi="Arial" w:cs="Arial"/>
                          <w:lang w:val="en-IE"/>
                        </w:rPr>
                      </w:pPr>
                    </w:p>
                    <w:p w14:paraId="64AA707B" w14:textId="77777777" w:rsidR="00DC75CF" w:rsidRPr="00D632B2" w:rsidRDefault="00DC75CF" w:rsidP="006C290C">
                      <w:pPr>
                        <w:jc w:val="center"/>
                        <w:rPr>
                          <w:rFonts w:ascii="Arial" w:hAnsi="Arial" w:cs="Arial"/>
                          <w:b/>
                          <w:sz w:val="22"/>
                          <w:szCs w:val="22"/>
                          <w:lang w:val="en-IE"/>
                        </w:rPr>
                      </w:pPr>
                      <w:r w:rsidRPr="00D632B2">
                        <w:rPr>
                          <w:rFonts w:ascii="Arial" w:hAnsi="Arial" w:cs="Arial"/>
                          <w:b/>
                          <w:sz w:val="22"/>
                          <w:szCs w:val="22"/>
                          <w:lang w:val="en-IE"/>
                        </w:rPr>
                        <w:t xml:space="preserve"> </w:t>
                      </w:r>
                    </w:p>
                  </w:txbxContent>
                </v:textbox>
                <w10:wrap anchorx="margin"/>
              </v:shape>
            </w:pict>
          </mc:Fallback>
        </mc:AlternateContent>
      </w:r>
    </w:p>
    <w:p w14:paraId="6783F85A" w14:textId="43D3D556" w:rsidR="006C290C" w:rsidRPr="00BE156A" w:rsidRDefault="006C290C" w:rsidP="00B03D14">
      <w:pPr>
        <w:spacing w:line="276" w:lineRule="auto"/>
        <w:rPr>
          <w:rFonts w:ascii="Arial" w:eastAsia="Calibri" w:hAnsi="Arial" w:cs="Arial"/>
          <w:u w:val="single"/>
          <w:lang w:val="en-IE"/>
        </w:rPr>
      </w:pPr>
    </w:p>
    <w:p w14:paraId="4CDB8816" w14:textId="77777777" w:rsidR="006C290C" w:rsidRPr="00BE156A" w:rsidRDefault="006C290C" w:rsidP="00B03D14">
      <w:pPr>
        <w:spacing w:line="276" w:lineRule="auto"/>
        <w:rPr>
          <w:rFonts w:ascii="Arial" w:eastAsia="Calibri" w:hAnsi="Arial" w:cs="Arial"/>
          <w:u w:val="single"/>
          <w:lang w:val="en-IE"/>
        </w:rPr>
      </w:pPr>
    </w:p>
    <w:p w14:paraId="1D008358" w14:textId="77777777" w:rsidR="006C290C" w:rsidRPr="00BE156A" w:rsidRDefault="006C290C" w:rsidP="00B03D14">
      <w:pPr>
        <w:spacing w:line="276" w:lineRule="auto"/>
        <w:rPr>
          <w:rFonts w:ascii="Arial" w:eastAsia="Calibri" w:hAnsi="Arial" w:cs="Arial"/>
          <w:u w:val="single"/>
          <w:lang w:val="en-IE"/>
        </w:rPr>
      </w:pPr>
    </w:p>
    <w:p w14:paraId="37BB8828" w14:textId="77777777" w:rsidR="00D65E07" w:rsidRPr="00BE156A" w:rsidRDefault="00D65E07" w:rsidP="00B03D14">
      <w:pPr>
        <w:spacing w:line="276" w:lineRule="auto"/>
        <w:rPr>
          <w:rFonts w:ascii="Arial" w:eastAsia="Calibri" w:hAnsi="Arial" w:cs="Arial"/>
          <w:u w:val="single"/>
          <w:lang w:val="en-IE"/>
        </w:rPr>
      </w:pPr>
    </w:p>
    <w:p w14:paraId="3063416C" w14:textId="77777777" w:rsidR="00D65E07" w:rsidRPr="00BE156A" w:rsidRDefault="00D65E07" w:rsidP="00B03D14">
      <w:pPr>
        <w:spacing w:line="276" w:lineRule="auto"/>
        <w:rPr>
          <w:rFonts w:ascii="Arial" w:eastAsia="Calibri" w:hAnsi="Arial" w:cs="Arial"/>
          <w:u w:val="single"/>
          <w:lang w:val="en-IE"/>
        </w:rPr>
      </w:pPr>
    </w:p>
    <w:p w14:paraId="6AD18C5F" w14:textId="77777777" w:rsidR="008E1F4B" w:rsidRPr="00BE156A" w:rsidRDefault="008E1F4B" w:rsidP="00B03D14">
      <w:pPr>
        <w:spacing w:line="276" w:lineRule="auto"/>
        <w:rPr>
          <w:rFonts w:ascii="Arial" w:eastAsia="Calibri" w:hAnsi="Arial" w:cs="Arial"/>
          <w:u w:val="single"/>
          <w:lang w:val="en-IE"/>
        </w:rPr>
      </w:pPr>
    </w:p>
    <w:p w14:paraId="040304F0" w14:textId="77777777" w:rsidR="00C501FB" w:rsidRPr="00BE156A" w:rsidRDefault="00C501FB" w:rsidP="00B03D14">
      <w:pPr>
        <w:spacing w:line="276" w:lineRule="auto"/>
        <w:rPr>
          <w:rFonts w:ascii="Arial" w:eastAsia="Calibri" w:hAnsi="Arial" w:cs="Arial"/>
          <w:b/>
          <w:lang w:val="en-IE"/>
        </w:rPr>
      </w:pPr>
    </w:p>
    <w:p w14:paraId="02E11860" w14:textId="77777777" w:rsidR="00C501FB" w:rsidRPr="00BE156A" w:rsidRDefault="00C501FB" w:rsidP="00B03D14">
      <w:pPr>
        <w:spacing w:line="276" w:lineRule="auto"/>
        <w:rPr>
          <w:rFonts w:ascii="Arial" w:eastAsia="Calibri" w:hAnsi="Arial" w:cs="Arial"/>
          <w:b/>
          <w:lang w:val="en-IE"/>
        </w:rPr>
      </w:pPr>
    </w:p>
    <w:p w14:paraId="1070BC4C" w14:textId="77777777" w:rsidR="00C501FB" w:rsidRPr="00BE156A" w:rsidRDefault="00C501FB" w:rsidP="00B03D14">
      <w:pPr>
        <w:spacing w:line="276" w:lineRule="auto"/>
        <w:rPr>
          <w:rFonts w:ascii="Arial" w:eastAsia="Calibri" w:hAnsi="Arial" w:cs="Arial"/>
          <w:b/>
          <w:lang w:val="en-IE"/>
        </w:rPr>
      </w:pPr>
      <w:r w:rsidRPr="00BE156A">
        <w:rPr>
          <w:rFonts w:ascii="Arial" w:eastAsia="Calibri" w:hAnsi="Arial" w:cs="Arial"/>
          <w:b/>
          <w:lang w:val="en-IE"/>
        </w:rPr>
        <w:br w:type="page"/>
      </w:r>
    </w:p>
    <w:p w14:paraId="4FF46389" w14:textId="2FF92771" w:rsidR="002C770E" w:rsidRPr="00B03D14" w:rsidRDefault="002C770E" w:rsidP="00B03D14">
      <w:pPr>
        <w:pStyle w:val="Heading3"/>
        <w:rPr>
          <w:lang w:val="en-GB"/>
        </w:rPr>
      </w:pPr>
      <w:r w:rsidRPr="00B03D14">
        <w:rPr>
          <w:lang w:val="en-GB"/>
        </w:rPr>
        <w:t xml:space="preserve">Double </w:t>
      </w:r>
      <w:r w:rsidR="00F817C7" w:rsidRPr="00B03D14">
        <w:rPr>
          <w:lang w:val="en-GB"/>
        </w:rPr>
        <w:t>i</w:t>
      </w:r>
      <w:r w:rsidRPr="00B03D14">
        <w:rPr>
          <w:lang w:val="en-GB"/>
        </w:rPr>
        <w:t xml:space="preserve">nsolvency </w:t>
      </w:r>
      <w:r w:rsidR="00F817C7" w:rsidRPr="00B03D14">
        <w:rPr>
          <w:lang w:val="en-GB"/>
        </w:rPr>
        <w:t>o</w:t>
      </w:r>
      <w:r w:rsidRPr="00B03D14">
        <w:rPr>
          <w:lang w:val="en-GB"/>
        </w:rPr>
        <w:t>rder</w:t>
      </w:r>
    </w:p>
    <w:p w14:paraId="6D9B6AE3" w14:textId="1FDBD0FE" w:rsidR="002C770E" w:rsidRDefault="002C770E" w:rsidP="00B03D14">
      <w:pPr>
        <w:spacing w:line="276" w:lineRule="auto"/>
        <w:rPr>
          <w:rFonts w:ascii="Arial" w:eastAsia="Calibri" w:hAnsi="Arial" w:cs="Arial"/>
          <w:lang w:val="en-IE"/>
        </w:rPr>
      </w:pPr>
      <w:r w:rsidRPr="00BE156A">
        <w:rPr>
          <w:rFonts w:ascii="Arial" w:eastAsia="Calibri" w:hAnsi="Arial" w:cs="Arial"/>
          <w:lang w:val="en-IE"/>
        </w:rPr>
        <w:t>Benefits will be distributed in the following order of priority:</w:t>
      </w:r>
    </w:p>
    <w:p w14:paraId="4EED53AC" w14:textId="77777777" w:rsidR="00D632B2" w:rsidRPr="00BE156A" w:rsidRDefault="00D632B2" w:rsidP="00B03D14">
      <w:pPr>
        <w:spacing w:line="276" w:lineRule="auto"/>
        <w:rPr>
          <w:rFonts w:ascii="Arial" w:eastAsia="Calibri" w:hAnsi="Arial" w:cs="Arial"/>
          <w:lang w:val="en-IE"/>
        </w:rPr>
      </w:pPr>
    </w:p>
    <w:p w14:paraId="58B938D4" w14:textId="4BB5CEC8" w:rsidR="002C770E" w:rsidRPr="00D632B2" w:rsidRDefault="002C770E" w:rsidP="00B03D14">
      <w:pPr>
        <w:numPr>
          <w:ilvl w:val="0"/>
          <w:numId w:val="3"/>
        </w:numPr>
        <w:spacing w:line="276" w:lineRule="auto"/>
        <w:contextualSpacing/>
        <w:rPr>
          <w:rFonts w:ascii="Arial" w:eastAsia="Calibri" w:hAnsi="Arial" w:cs="Arial"/>
          <w:lang w:val="en-IE"/>
        </w:rPr>
      </w:pPr>
      <w:r w:rsidRPr="00D632B2">
        <w:rPr>
          <w:rFonts w:ascii="Arial" w:eastAsia="Calibri" w:hAnsi="Arial" w:cs="Arial"/>
          <w:lang w:val="en-IE"/>
        </w:rPr>
        <w:t>AVCs and transfers in of AVCs; and</w:t>
      </w:r>
      <w:r w:rsidR="00D632B2">
        <w:rPr>
          <w:rFonts w:ascii="Arial" w:eastAsia="Calibri" w:hAnsi="Arial" w:cs="Arial"/>
          <w:lang w:val="en-IE"/>
        </w:rPr>
        <w:t xml:space="preserve"> </w:t>
      </w:r>
      <w:r w:rsidRPr="00D632B2">
        <w:rPr>
          <w:rFonts w:ascii="Arial" w:eastAsia="Calibri" w:hAnsi="Arial" w:cs="Arial"/>
          <w:lang w:val="en-IE"/>
        </w:rPr>
        <w:t>DC benefits and transfers in of DC benefits.</w:t>
      </w:r>
    </w:p>
    <w:p w14:paraId="4C2B63BE" w14:textId="77777777" w:rsidR="002C770E" w:rsidRPr="00BE156A" w:rsidRDefault="002C770E" w:rsidP="00B03D14">
      <w:pPr>
        <w:numPr>
          <w:ilvl w:val="0"/>
          <w:numId w:val="3"/>
        </w:numPr>
        <w:spacing w:line="276" w:lineRule="auto"/>
        <w:contextualSpacing/>
        <w:rPr>
          <w:rFonts w:ascii="Arial" w:eastAsia="Calibri" w:hAnsi="Arial" w:cs="Arial"/>
          <w:u w:val="single"/>
          <w:lang w:val="en-IE"/>
        </w:rPr>
      </w:pPr>
      <w:r w:rsidRPr="00BE156A">
        <w:rPr>
          <w:rFonts w:ascii="Arial" w:eastAsia="Calibri" w:hAnsi="Arial" w:cs="Arial"/>
          <w:lang w:val="en-IE"/>
        </w:rPr>
        <w:t>50% of pensioner benefits, including post-retirement increases.</w:t>
      </w:r>
    </w:p>
    <w:p w14:paraId="515E941C" w14:textId="77777777" w:rsidR="002C770E" w:rsidRPr="00BE156A" w:rsidRDefault="002C770E" w:rsidP="00B03D14">
      <w:pPr>
        <w:numPr>
          <w:ilvl w:val="0"/>
          <w:numId w:val="3"/>
        </w:numPr>
        <w:spacing w:line="276" w:lineRule="auto"/>
        <w:contextualSpacing/>
        <w:rPr>
          <w:rFonts w:ascii="Arial" w:eastAsia="Calibri" w:hAnsi="Arial" w:cs="Arial"/>
          <w:u w:val="single"/>
          <w:lang w:val="en-IE"/>
        </w:rPr>
      </w:pPr>
      <w:r w:rsidRPr="00BE156A">
        <w:rPr>
          <w:rFonts w:ascii="Arial" w:eastAsia="Calibri" w:hAnsi="Arial" w:cs="Arial"/>
          <w:lang w:val="en-IE"/>
        </w:rPr>
        <w:t>50% of active and deferred benefits, including post retirement increases.</w:t>
      </w:r>
    </w:p>
    <w:p w14:paraId="18D7E86C" w14:textId="77777777" w:rsidR="002C770E" w:rsidRPr="00BE156A" w:rsidRDefault="002C770E" w:rsidP="00B03D14">
      <w:pPr>
        <w:numPr>
          <w:ilvl w:val="0"/>
          <w:numId w:val="3"/>
        </w:numPr>
        <w:spacing w:line="276" w:lineRule="auto"/>
        <w:contextualSpacing/>
        <w:rPr>
          <w:rFonts w:ascii="Arial" w:eastAsia="Calibri" w:hAnsi="Arial" w:cs="Arial"/>
          <w:u w:val="single"/>
          <w:lang w:val="en-IE"/>
        </w:rPr>
      </w:pPr>
      <w:r w:rsidRPr="00BE156A">
        <w:rPr>
          <w:rFonts w:ascii="Arial" w:eastAsia="Calibri" w:hAnsi="Arial" w:cs="Arial"/>
          <w:lang w:val="en-IE"/>
        </w:rPr>
        <w:t xml:space="preserve">Pensioner benefits up to a maximum of €12,000 per </w:t>
      </w:r>
      <w:r w:rsidR="00073A51" w:rsidRPr="00BE156A">
        <w:rPr>
          <w:rFonts w:ascii="Arial" w:eastAsia="Calibri" w:hAnsi="Arial" w:cs="Arial"/>
          <w:lang w:val="en-IE"/>
        </w:rPr>
        <w:t>year</w:t>
      </w:r>
      <w:r w:rsidRPr="00BE156A">
        <w:rPr>
          <w:rFonts w:ascii="Arial" w:eastAsia="Calibri" w:hAnsi="Arial" w:cs="Arial"/>
          <w:lang w:val="en-IE"/>
        </w:rPr>
        <w:t>, excluding post-retirement increases.</w:t>
      </w:r>
    </w:p>
    <w:p w14:paraId="3FD104D7" w14:textId="77777777" w:rsidR="002C770E" w:rsidRPr="00BE156A" w:rsidRDefault="002C770E" w:rsidP="00B03D14">
      <w:pPr>
        <w:numPr>
          <w:ilvl w:val="0"/>
          <w:numId w:val="3"/>
        </w:numPr>
        <w:spacing w:line="276" w:lineRule="auto"/>
        <w:contextualSpacing/>
        <w:rPr>
          <w:rFonts w:ascii="Arial" w:eastAsia="Calibri" w:hAnsi="Arial" w:cs="Arial"/>
          <w:u w:val="single"/>
          <w:lang w:val="en-IE"/>
        </w:rPr>
      </w:pPr>
      <w:r w:rsidRPr="00BE156A">
        <w:rPr>
          <w:rFonts w:ascii="Arial" w:eastAsia="Calibri" w:hAnsi="Arial" w:cs="Arial"/>
          <w:lang w:val="en-IE"/>
        </w:rPr>
        <w:t>Remaining pensioner benefits, excluding post-retirement increases.</w:t>
      </w:r>
    </w:p>
    <w:p w14:paraId="0FC50202" w14:textId="77777777" w:rsidR="002C770E" w:rsidRPr="00BE156A" w:rsidRDefault="002C770E" w:rsidP="00B03D14">
      <w:pPr>
        <w:numPr>
          <w:ilvl w:val="0"/>
          <w:numId w:val="3"/>
        </w:numPr>
        <w:spacing w:line="276" w:lineRule="auto"/>
        <w:contextualSpacing/>
        <w:rPr>
          <w:rFonts w:ascii="Arial" w:eastAsia="Calibri" w:hAnsi="Arial" w:cs="Arial"/>
          <w:u w:val="single"/>
          <w:lang w:val="en-IE"/>
        </w:rPr>
      </w:pPr>
      <w:r w:rsidRPr="00BE156A">
        <w:rPr>
          <w:rFonts w:ascii="Arial" w:eastAsia="Calibri" w:hAnsi="Arial" w:cs="Arial"/>
          <w:lang w:val="en-IE"/>
        </w:rPr>
        <w:t>Remaining active and deferred benefit</w:t>
      </w:r>
      <w:r w:rsidR="007658C1" w:rsidRPr="00BE156A">
        <w:rPr>
          <w:rFonts w:ascii="Arial" w:eastAsia="Calibri" w:hAnsi="Arial" w:cs="Arial"/>
          <w:lang w:val="en-IE"/>
        </w:rPr>
        <w:t>s</w:t>
      </w:r>
      <w:r w:rsidRPr="00BE156A">
        <w:rPr>
          <w:rFonts w:ascii="Arial" w:eastAsia="Calibri" w:hAnsi="Arial" w:cs="Arial"/>
          <w:lang w:val="en-IE"/>
        </w:rPr>
        <w:t>, excluding post-retirement increases.</w:t>
      </w:r>
    </w:p>
    <w:p w14:paraId="2D977E57" w14:textId="77777777" w:rsidR="002C770E" w:rsidRPr="00BE156A" w:rsidRDefault="00E73638" w:rsidP="00B03D14">
      <w:pPr>
        <w:numPr>
          <w:ilvl w:val="0"/>
          <w:numId w:val="3"/>
        </w:numPr>
        <w:spacing w:line="276" w:lineRule="auto"/>
        <w:contextualSpacing/>
        <w:rPr>
          <w:rFonts w:ascii="Arial" w:eastAsia="Calibri" w:hAnsi="Arial" w:cs="Arial"/>
          <w:lang w:val="en-IE"/>
        </w:rPr>
      </w:pPr>
      <w:r w:rsidRPr="00BE156A">
        <w:rPr>
          <w:rFonts w:ascii="Arial" w:eastAsia="Calibri" w:hAnsi="Arial" w:cs="Arial"/>
          <w:lang w:val="en-IE"/>
        </w:rPr>
        <w:t>Any r</w:t>
      </w:r>
      <w:r w:rsidR="002C770E" w:rsidRPr="00BE156A">
        <w:rPr>
          <w:rFonts w:ascii="Arial" w:eastAsia="Calibri" w:hAnsi="Arial" w:cs="Arial"/>
          <w:lang w:val="en-IE"/>
        </w:rPr>
        <w:t>emaining benefits, including post-retirement increases.</w:t>
      </w:r>
    </w:p>
    <w:p w14:paraId="27D6AD0B" w14:textId="77777777" w:rsidR="008F55A4" w:rsidRPr="00BE156A" w:rsidRDefault="008F55A4" w:rsidP="00B03D14">
      <w:pPr>
        <w:spacing w:line="276" w:lineRule="auto"/>
        <w:contextualSpacing/>
        <w:rPr>
          <w:rFonts w:ascii="Arial" w:eastAsia="Calibri" w:hAnsi="Arial" w:cs="Arial"/>
          <w:lang w:val="en-IE"/>
        </w:rPr>
      </w:pPr>
    </w:p>
    <w:p w14:paraId="71B945E0" w14:textId="77777777" w:rsidR="002B0C4E" w:rsidRPr="009D6C46" w:rsidRDefault="009156CB" w:rsidP="00B03D14">
      <w:pPr>
        <w:spacing w:line="276" w:lineRule="auto"/>
        <w:ind w:left="360"/>
        <w:rPr>
          <w:rFonts w:ascii="Arial" w:eastAsia="Calibri" w:hAnsi="Arial" w:cs="Arial"/>
          <w:iCs/>
          <w:lang w:val="en-IE"/>
        </w:rPr>
      </w:pPr>
      <w:r w:rsidRPr="009D6C46">
        <w:rPr>
          <w:rFonts w:ascii="Arial" w:eastAsia="Calibri" w:hAnsi="Arial" w:cs="Arial"/>
          <w:iCs/>
          <w:lang w:val="en-IE"/>
        </w:rPr>
        <w:t xml:space="preserve">N.B. </w:t>
      </w:r>
      <w:r w:rsidR="0006457D" w:rsidRPr="009D6C46">
        <w:rPr>
          <w:rFonts w:ascii="Arial" w:eastAsia="Calibri" w:hAnsi="Arial" w:cs="Arial"/>
          <w:iCs/>
          <w:lang w:val="en-IE"/>
        </w:rPr>
        <w:t xml:space="preserve">The benefits which scheme members receive in a wind up will depend upon the scheme assets which are available for distribution. </w:t>
      </w:r>
    </w:p>
    <w:p w14:paraId="6BBA9C22" w14:textId="77777777" w:rsidR="002B0C4E" w:rsidRPr="009D6C46" w:rsidRDefault="002B0C4E" w:rsidP="00B03D14">
      <w:pPr>
        <w:spacing w:line="276" w:lineRule="auto"/>
        <w:ind w:left="360"/>
        <w:rPr>
          <w:rFonts w:ascii="Arial" w:eastAsia="Calibri" w:hAnsi="Arial" w:cs="Arial"/>
          <w:iCs/>
          <w:lang w:val="en-IE"/>
        </w:rPr>
      </w:pPr>
    </w:p>
    <w:p w14:paraId="7104A4A2" w14:textId="66BB33F0" w:rsidR="008F55A4" w:rsidRPr="00BE156A" w:rsidRDefault="006E7DA7" w:rsidP="00B03D14">
      <w:pPr>
        <w:spacing w:line="276" w:lineRule="auto"/>
        <w:ind w:left="360"/>
        <w:rPr>
          <w:rFonts w:ascii="Arial" w:eastAsia="Calibri" w:hAnsi="Arial" w:cs="Arial"/>
          <w:lang w:val="en-IE"/>
        </w:rPr>
      </w:pPr>
      <w:r>
        <w:rPr>
          <w:rFonts w:ascii="Arial" w:eastAsia="Calibri" w:hAnsi="Arial" w:cs="Arial"/>
          <w:noProof/>
          <w:lang w:val="en-IE" w:eastAsia="en-IE"/>
        </w:rPr>
        <mc:AlternateContent>
          <mc:Choice Requires="wps">
            <w:drawing>
              <wp:anchor distT="0" distB="0" distL="114300" distR="114300" simplePos="0" relativeHeight="251663360" behindDoc="0" locked="0" layoutInCell="1" allowOverlap="1" wp14:anchorId="1551E01B" wp14:editId="4B737DC9">
                <wp:simplePos x="0" y="0"/>
                <wp:positionH relativeFrom="column">
                  <wp:posOffset>240030</wp:posOffset>
                </wp:positionH>
                <wp:positionV relativeFrom="paragraph">
                  <wp:posOffset>946785</wp:posOffset>
                </wp:positionV>
                <wp:extent cx="5500370" cy="3646170"/>
                <wp:effectExtent l="0" t="0" r="24130"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0370" cy="3646170"/>
                        </a:xfrm>
                        <a:prstGeom prst="rect">
                          <a:avLst/>
                        </a:prstGeom>
                        <a:solidFill>
                          <a:srgbClr val="FFFFFF"/>
                        </a:solidFill>
                        <a:ln w="9525">
                          <a:solidFill>
                            <a:srgbClr val="000000"/>
                          </a:solidFill>
                          <a:miter lim="800000"/>
                          <a:headEnd/>
                          <a:tailEnd/>
                        </a:ln>
                      </wps:spPr>
                      <wps:txbx>
                        <w:txbxContent>
                          <w:p w14:paraId="0C2B1644" w14:textId="77777777" w:rsidR="00DC75CF" w:rsidRPr="006E7DA7" w:rsidRDefault="00DC75CF" w:rsidP="009D6C46">
                            <w:pPr>
                              <w:spacing w:line="276" w:lineRule="auto"/>
                              <w:rPr>
                                <w:rFonts w:ascii="Arial" w:hAnsi="Arial" w:cs="Arial"/>
                                <w:b/>
                                <w:sz w:val="22"/>
                                <w:szCs w:val="22"/>
                                <w:lang w:val="en-IE"/>
                              </w:rPr>
                            </w:pPr>
                            <w:r w:rsidRPr="006E7DA7">
                              <w:rPr>
                                <w:rFonts w:ascii="Arial" w:hAnsi="Arial" w:cs="Arial"/>
                                <w:b/>
                                <w:sz w:val="22"/>
                                <w:szCs w:val="22"/>
                                <w:lang w:val="en-IE"/>
                              </w:rPr>
                              <w:t>Examples</w:t>
                            </w:r>
                          </w:p>
                          <w:p w14:paraId="6C01D630" w14:textId="77777777" w:rsidR="00DC75CF" w:rsidRPr="006E7DA7" w:rsidRDefault="00DC75CF" w:rsidP="009D6C46">
                            <w:pPr>
                              <w:spacing w:line="276" w:lineRule="auto"/>
                              <w:jc w:val="center"/>
                              <w:rPr>
                                <w:rFonts w:ascii="Arial" w:hAnsi="Arial" w:cs="Arial"/>
                                <w:b/>
                                <w:sz w:val="20"/>
                                <w:szCs w:val="22"/>
                                <w:lang w:val="en-IE"/>
                              </w:rPr>
                            </w:pPr>
                          </w:p>
                          <w:p w14:paraId="1D82E514" w14:textId="77777777" w:rsidR="00DC75CF" w:rsidRPr="006E7DA7" w:rsidRDefault="00DC75CF" w:rsidP="00B03D14">
                            <w:pPr>
                              <w:spacing w:line="276" w:lineRule="auto"/>
                              <w:rPr>
                                <w:rFonts w:ascii="Arial" w:hAnsi="Arial" w:cs="Arial"/>
                                <w:sz w:val="22"/>
                                <w:szCs w:val="22"/>
                                <w:lang w:val="en-IE"/>
                              </w:rPr>
                            </w:pPr>
                            <w:r w:rsidRPr="006E7DA7">
                              <w:rPr>
                                <w:rFonts w:ascii="Arial" w:hAnsi="Arial" w:cs="Arial"/>
                                <w:sz w:val="22"/>
                                <w:szCs w:val="22"/>
                                <w:lang w:val="en-IE"/>
                              </w:rPr>
                              <w:t xml:space="preserve">The Jones pension scheme is underfunded and can cover only priorities 1 to 4. Anne, Cormac and Jane are all members of this scheme. </w:t>
                            </w:r>
                          </w:p>
                          <w:p w14:paraId="419AEAA3" w14:textId="77777777" w:rsidR="00DC75CF" w:rsidRPr="006E7DA7" w:rsidRDefault="00DC75CF" w:rsidP="00B03D14">
                            <w:pPr>
                              <w:spacing w:line="276" w:lineRule="auto"/>
                              <w:rPr>
                                <w:rFonts w:ascii="Arial" w:hAnsi="Arial" w:cs="Arial"/>
                                <w:sz w:val="22"/>
                                <w:szCs w:val="22"/>
                                <w:lang w:val="en-IE"/>
                              </w:rPr>
                            </w:pPr>
                          </w:p>
                          <w:p w14:paraId="6F2835CB" w14:textId="77777777" w:rsidR="00DC75CF" w:rsidRPr="006E7DA7" w:rsidRDefault="00DC75CF" w:rsidP="00B03D14">
                            <w:pPr>
                              <w:spacing w:line="276" w:lineRule="auto"/>
                              <w:rPr>
                                <w:rFonts w:ascii="Arial" w:hAnsi="Arial" w:cs="Arial"/>
                                <w:sz w:val="22"/>
                                <w:szCs w:val="22"/>
                                <w:lang w:val="en-IE"/>
                              </w:rPr>
                            </w:pPr>
                            <w:r w:rsidRPr="006E7DA7">
                              <w:rPr>
                                <w:rFonts w:ascii="Arial" w:hAnsi="Arial" w:cs="Arial"/>
                                <w:sz w:val="22"/>
                                <w:szCs w:val="22"/>
                                <w:lang w:val="en-IE"/>
                              </w:rPr>
                              <w:t xml:space="preserve">Anne is receiving a pension of €11,000 per year. After the wind up, Anne will continue to receive a pension of €11,000 per year. This is because she will receive €5,500 per year under priority 2 and the remaining €5,500 per year under priority 4. Any post-retirement increases payable to Anne in respect of the first €5,500 are covered.  </w:t>
                            </w:r>
                          </w:p>
                          <w:p w14:paraId="74A4B0FE" w14:textId="77777777" w:rsidR="00DC75CF" w:rsidRPr="006E7DA7" w:rsidRDefault="00DC75CF" w:rsidP="00B03D14">
                            <w:pPr>
                              <w:pStyle w:val="ListParagraph"/>
                              <w:spacing w:after="0"/>
                              <w:rPr>
                                <w:rFonts w:ascii="Arial" w:hAnsi="Arial" w:cs="Arial"/>
                                <w:lang w:val="en-IE"/>
                              </w:rPr>
                            </w:pPr>
                          </w:p>
                          <w:p w14:paraId="6D26F10A" w14:textId="77777777" w:rsidR="00DC75CF" w:rsidRPr="006E7DA7" w:rsidRDefault="00DC75CF" w:rsidP="00B03D14">
                            <w:pPr>
                              <w:spacing w:line="276" w:lineRule="auto"/>
                              <w:rPr>
                                <w:rFonts w:ascii="Arial" w:hAnsi="Arial" w:cs="Arial"/>
                                <w:sz w:val="22"/>
                                <w:szCs w:val="22"/>
                                <w:lang w:val="en-IE"/>
                              </w:rPr>
                            </w:pPr>
                            <w:r w:rsidRPr="006E7DA7">
                              <w:rPr>
                                <w:rFonts w:ascii="Arial" w:hAnsi="Arial" w:cs="Arial"/>
                                <w:sz w:val="22"/>
                                <w:szCs w:val="22"/>
                                <w:lang w:val="en-IE"/>
                              </w:rPr>
                              <w:t>Cormac is a deferred member with a preserved benefit of €14,000 per year.  After the wind up, Cormac will receive a transfer value in respect of €7,000 per year under priority 3, including any post-retirement increases payable to him.</w:t>
                            </w:r>
                          </w:p>
                          <w:p w14:paraId="09F9F4B6" w14:textId="77777777" w:rsidR="00DC75CF" w:rsidRPr="006E7DA7" w:rsidRDefault="00DC75CF" w:rsidP="00B03D14">
                            <w:pPr>
                              <w:pStyle w:val="ListParagraph"/>
                              <w:spacing w:after="0"/>
                              <w:rPr>
                                <w:rFonts w:ascii="Arial" w:hAnsi="Arial" w:cs="Arial"/>
                                <w:lang w:val="en-IE"/>
                              </w:rPr>
                            </w:pPr>
                          </w:p>
                          <w:p w14:paraId="552DA922" w14:textId="77777777" w:rsidR="00DC75CF" w:rsidRPr="006E7DA7" w:rsidRDefault="00DC75CF" w:rsidP="00B03D14">
                            <w:pPr>
                              <w:spacing w:line="276" w:lineRule="auto"/>
                              <w:rPr>
                                <w:rFonts w:ascii="Arial" w:hAnsi="Arial" w:cs="Arial"/>
                                <w:sz w:val="22"/>
                                <w:szCs w:val="22"/>
                                <w:lang w:val="en-IE"/>
                              </w:rPr>
                            </w:pPr>
                            <w:r w:rsidRPr="006E7DA7">
                              <w:rPr>
                                <w:rFonts w:ascii="Arial" w:hAnsi="Arial" w:cs="Arial"/>
                                <w:sz w:val="22"/>
                                <w:szCs w:val="22"/>
                                <w:lang w:val="en-IE"/>
                              </w:rPr>
                              <w:t>Jane is receiving a pension of €15,000 per year. After the wind up, Jane will receive a pension of €12,000 per year. This is because she will receive €7,500 under priority 2 and a further €4,500 under priority 4. A maximum of €12,000 per year is protected under priority 4. Any post-retirement increases payable to Jane in respect of the first €7,500 are covered.</w:t>
                            </w:r>
                          </w:p>
                          <w:p w14:paraId="53BE4DF9" w14:textId="77777777" w:rsidR="00DC75CF" w:rsidRPr="00073A51" w:rsidRDefault="00DC75CF" w:rsidP="00073A51">
                            <w:pPr>
                              <w:jc w:val="both"/>
                              <w:rPr>
                                <w:rFonts w:ascii="Arial" w:hAnsi="Arial" w:cs="Arial"/>
                                <w:b/>
                                <w:lang w:val="en-I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51E01B" id="_x0000_s1029" type="#_x0000_t202" style="position:absolute;left:0;text-align:left;margin-left:18.9pt;margin-top:74.55pt;width:433.1pt;height:28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">
                <v:textbox>
                  <w:txbxContent>
                    <w:p w14:paraId="0C2B1644" w14:textId="77777777" w:rsidR="00DC75CF" w:rsidRPr="006E7DA7" w:rsidRDefault="00DC75CF" w:rsidP="009D6C46">
                      <w:pPr>
                        <w:spacing w:line="276" w:lineRule="auto"/>
                        <w:rPr>
                          <w:rFonts w:ascii="Arial" w:hAnsi="Arial" w:cs="Arial"/>
                          <w:b/>
                          <w:sz w:val="22"/>
                          <w:szCs w:val="22"/>
                          <w:lang w:val="en-IE"/>
                        </w:rPr>
                      </w:pPr>
                      <w:r w:rsidRPr="006E7DA7">
                        <w:rPr>
                          <w:rFonts w:ascii="Arial" w:hAnsi="Arial" w:cs="Arial"/>
                          <w:b/>
                          <w:sz w:val="22"/>
                          <w:szCs w:val="22"/>
                          <w:lang w:val="en-IE"/>
                        </w:rPr>
                        <w:t>Examples</w:t>
                      </w:r>
                    </w:p>
                    <w:p w14:paraId="6C01D630" w14:textId="77777777" w:rsidR="00DC75CF" w:rsidRPr="006E7DA7" w:rsidRDefault="00DC75CF" w:rsidP="009D6C46">
                      <w:pPr>
                        <w:spacing w:line="276" w:lineRule="auto"/>
                        <w:jc w:val="center"/>
                        <w:rPr>
                          <w:rFonts w:ascii="Arial" w:hAnsi="Arial" w:cs="Arial"/>
                          <w:b/>
                          <w:sz w:val="20"/>
                          <w:szCs w:val="22"/>
                          <w:lang w:val="en-IE"/>
                        </w:rPr>
                      </w:pPr>
                    </w:p>
                    <w:p w14:paraId="1D82E514" w14:textId="77777777" w:rsidR="00DC75CF" w:rsidRPr="006E7DA7" w:rsidRDefault="00DC75CF" w:rsidP="00B03D14">
                      <w:pPr>
                        <w:spacing w:line="276" w:lineRule="auto"/>
                        <w:rPr>
                          <w:rFonts w:ascii="Arial" w:hAnsi="Arial" w:cs="Arial"/>
                          <w:sz w:val="22"/>
                          <w:szCs w:val="22"/>
                          <w:lang w:val="en-IE"/>
                        </w:rPr>
                      </w:pPr>
                      <w:r w:rsidRPr="006E7DA7">
                        <w:rPr>
                          <w:rFonts w:ascii="Arial" w:hAnsi="Arial" w:cs="Arial"/>
                          <w:sz w:val="22"/>
                          <w:szCs w:val="22"/>
                          <w:lang w:val="en-IE"/>
                        </w:rPr>
                        <w:t xml:space="preserve">The Jones pension scheme is underfunded and can cover only priorities 1 to 4. Anne, Cormac and Jane are all members of this scheme. </w:t>
                      </w:r>
                    </w:p>
                    <w:p w14:paraId="419AEAA3" w14:textId="77777777" w:rsidR="00DC75CF" w:rsidRPr="006E7DA7" w:rsidRDefault="00DC75CF" w:rsidP="00B03D14">
                      <w:pPr>
                        <w:spacing w:line="276" w:lineRule="auto"/>
                        <w:rPr>
                          <w:rFonts w:ascii="Arial" w:hAnsi="Arial" w:cs="Arial"/>
                          <w:sz w:val="22"/>
                          <w:szCs w:val="22"/>
                          <w:lang w:val="en-IE"/>
                        </w:rPr>
                      </w:pPr>
                    </w:p>
                    <w:p w14:paraId="6F2835CB" w14:textId="77777777" w:rsidR="00DC75CF" w:rsidRPr="006E7DA7" w:rsidRDefault="00DC75CF" w:rsidP="00B03D14">
                      <w:pPr>
                        <w:spacing w:line="276" w:lineRule="auto"/>
                        <w:rPr>
                          <w:rFonts w:ascii="Arial" w:hAnsi="Arial" w:cs="Arial"/>
                          <w:sz w:val="22"/>
                          <w:szCs w:val="22"/>
                          <w:lang w:val="en-IE"/>
                        </w:rPr>
                      </w:pPr>
                      <w:r w:rsidRPr="006E7DA7">
                        <w:rPr>
                          <w:rFonts w:ascii="Arial" w:hAnsi="Arial" w:cs="Arial"/>
                          <w:sz w:val="22"/>
                          <w:szCs w:val="22"/>
                          <w:lang w:val="en-IE"/>
                        </w:rPr>
                        <w:t xml:space="preserve">Anne is receiving a pension of €11,000 per year. After the wind up, Anne will continue to receive a pension of €11,000 per year. This is because she will receive €5,500 per year under priority 2 and the remaining €5,500 per year under priority 4. Any post-retirement increases payable to Anne in respect of the first €5,500 are covered.  </w:t>
                      </w:r>
                    </w:p>
                    <w:p w14:paraId="74A4B0FE" w14:textId="77777777" w:rsidR="00DC75CF" w:rsidRPr="006E7DA7" w:rsidRDefault="00DC75CF" w:rsidP="00B03D14">
                      <w:pPr>
                        <w:pStyle w:val="ListParagraph"/>
                        <w:spacing w:after="0"/>
                        <w:rPr>
                          <w:rFonts w:ascii="Arial" w:hAnsi="Arial" w:cs="Arial"/>
                          <w:lang w:val="en-IE"/>
                        </w:rPr>
                      </w:pPr>
                    </w:p>
                    <w:p w14:paraId="6D26F10A" w14:textId="77777777" w:rsidR="00DC75CF" w:rsidRPr="006E7DA7" w:rsidRDefault="00DC75CF" w:rsidP="00B03D14">
                      <w:pPr>
                        <w:spacing w:line="276" w:lineRule="auto"/>
                        <w:rPr>
                          <w:rFonts w:ascii="Arial" w:hAnsi="Arial" w:cs="Arial"/>
                          <w:sz w:val="22"/>
                          <w:szCs w:val="22"/>
                          <w:lang w:val="en-IE"/>
                        </w:rPr>
                      </w:pPr>
                      <w:r w:rsidRPr="006E7DA7">
                        <w:rPr>
                          <w:rFonts w:ascii="Arial" w:hAnsi="Arial" w:cs="Arial"/>
                          <w:sz w:val="22"/>
                          <w:szCs w:val="22"/>
                          <w:lang w:val="en-IE"/>
                        </w:rPr>
                        <w:t>Cormac is a deferred member with a preserved benefit of €14,000 per year.  After the wind up, Cormac will receive a transfer value in respect of €7,000 per year under priority 3, including any post-retirement increases payable to him.</w:t>
                      </w:r>
                    </w:p>
                    <w:p w14:paraId="09F9F4B6" w14:textId="77777777" w:rsidR="00DC75CF" w:rsidRPr="006E7DA7" w:rsidRDefault="00DC75CF" w:rsidP="00B03D14">
                      <w:pPr>
                        <w:pStyle w:val="ListParagraph"/>
                        <w:spacing w:after="0"/>
                        <w:rPr>
                          <w:rFonts w:ascii="Arial" w:hAnsi="Arial" w:cs="Arial"/>
                          <w:lang w:val="en-IE"/>
                        </w:rPr>
                      </w:pPr>
                    </w:p>
                    <w:p w14:paraId="552DA922" w14:textId="77777777" w:rsidR="00DC75CF" w:rsidRPr="006E7DA7" w:rsidRDefault="00DC75CF" w:rsidP="00B03D14">
                      <w:pPr>
                        <w:spacing w:line="276" w:lineRule="auto"/>
                        <w:rPr>
                          <w:rFonts w:ascii="Arial" w:hAnsi="Arial" w:cs="Arial"/>
                          <w:sz w:val="22"/>
                          <w:szCs w:val="22"/>
                          <w:lang w:val="en-IE"/>
                        </w:rPr>
                      </w:pPr>
                      <w:r w:rsidRPr="006E7DA7">
                        <w:rPr>
                          <w:rFonts w:ascii="Arial" w:hAnsi="Arial" w:cs="Arial"/>
                          <w:sz w:val="22"/>
                          <w:szCs w:val="22"/>
                          <w:lang w:val="en-IE"/>
                        </w:rPr>
                        <w:t>Jane is receiving a pension of €15,000 per year. After the wind up, Jane will receive a pension of €12,000 per year. This is because she will receive €7,500 under priority 2 and a further €4,500 under priority 4. A maximum of €12,000 per year is protected under priority 4. Any post-retirement increases payable to Jane in respect of the first €7,500 are covered.</w:t>
                      </w:r>
                    </w:p>
                    <w:p w14:paraId="53BE4DF9" w14:textId="77777777" w:rsidR="00DC75CF" w:rsidRPr="00073A51" w:rsidRDefault="00DC75CF" w:rsidP="00073A51">
                      <w:pPr>
                        <w:jc w:val="both"/>
                        <w:rPr>
                          <w:rFonts w:ascii="Arial" w:hAnsi="Arial" w:cs="Arial"/>
                          <w:b/>
                          <w:lang w:val="en-IE"/>
                        </w:rPr>
                      </w:pPr>
                    </w:p>
                  </w:txbxContent>
                </v:textbox>
                <w10:wrap type="square"/>
              </v:shape>
            </w:pict>
          </mc:Fallback>
        </mc:AlternateContent>
      </w:r>
      <w:r w:rsidR="0006457D" w:rsidRPr="009D6C46">
        <w:rPr>
          <w:rFonts w:ascii="Arial" w:eastAsia="Calibri" w:hAnsi="Arial" w:cs="Arial"/>
          <w:iCs/>
          <w:lang w:val="en-IE"/>
        </w:rPr>
        <w:t>However, i</w:t>
      </w:r>
      <w:r w:rsidR="008F55A4" w:rsidRPr="009D6C46">
        <w:rPr>
          <w:rFonts w:ascii="Arial" w:eastAsia="Calibri" w:hAnsi="Arial" w:cs="Arial"/>
          <w:iCs/>
          <w:lang w:val="en-IE"/>
        </w:rPr>
        <w:t>n a double insolvency, if the scheme does not have enough assets to pay for the benefits under priorities 2, 3 and 4, the Minister for Finance will provide the necessary money to make up the shortfall</w:t>
      </w:r>
      <w:r w:rsidR="002B0C4E" w:rsidRPr="009D6C46">
        <w:rPr>
          <w:rFonts w:ascii="Arial" w:eastAsia="Calibri" w:hAnsi="Arial" w:cs="Arial"/>
          <w:iCs/>
          <w:lang w:val="en-IE"/>
        </w:rPr>
        <w:t>, subject to criteria set out in legislation</w:t>
      </w:r>
      <w:r w:rsidR="008F55A4" w:rsidRPr="00BE156A">
        <w:rPr>
          <w:rFonts w:ascii="Arial" w:eastAsia="Calibri" w:hAnsi="Arial" w:cs="Arial"/>
          <w:i/>
          <w:lang w:val="en-IE"/>
        </w:rPr>
        <w:t xml:space="preserve">. </w:t>
      </w:r>
    </w:p>
    <w:p w14:paraId="63ED0F06" w14:textId="77777777" w:rsidR="006E7DA7" w:rsidRDefault="006E7DA7" w:rsidP="00B03D14">
      <w:pPr>
        <w:spacing w:line="276" w:lineRule="auto"/>
        <w:rPr>
          <w:rFonts w:ascii="Arial" w:eastAsia="Calibri" w:hAnsi="Arial" w:cs="Arial"/>
          <w:b/>
          <w:sz w:val="28"/>
          <w:lang w:val="en-IE"/>
        </w:rPr>
      </w:pPr>
    </w:p>
    <w:p w14:paraId="08D51C10" w14:textId="77777777" w:rsidR="00B40F82" w:rsidRDefault="00B40F82" w:rsidP="00B03D14">
      <w:pPr>
        <w:spacing w:line="276" w:lineRule="auto"/>
        <w:rPr>
          <w:rFonts w:ascii="Arial" w:eastAsia="Calibri" w:hAnsi="Arial" w:cs="Arial"/>
          <w:b/>
          <w:sz w:val="28"/>
          <w:lang w:val="en-IE"/>
        </w:rPr>
      </w:pPr>
    </w:p>
    <w:p w14:paraId="2D8A745F" w14:textId="2F08683B" w:rsidR="002C770E" w:rsidRPr="00B03D14" w:rsidRDefault="0024725A" w:rsidP="00B03D14">
      <w:pPr>
        <w:pStyle w:val="Heading3"/>
        <w:rPr>
          <w:lang w:val="en-GB"/>
        </w:rPr>
      </w:pPr>
      <w:r w:rsidRPr="00B03D14">
        <w:rPr>
          <w:lang w:val="en-GB"/>
        </w:rPr>
        <w:t>B</w:t>
      </w:r>
      <w:r w:rsidR="002C770E" w:rsidRPr="00B03D14">
        <w:rPr>
          <w:lang w:val="en-GB"/>
        </w:rPr>
        <w:t>enefit reductions</w:t>
      </w:r>
      <w:r w:rsidRPr="00B03D14">
        <w:rPr>
          <w:lang w:val="en-GB"/>
        </w:rPr>
        <w:t xml:space="preserve"> under </w:t>
      </w:r>
      <w:r w:rsidR="00F817C7" w:rsidRPr="00B03D14">
        <w:rPr>
          <w:lang w:val="en-GB"/>
        </w:rPr>
        <w:t>s</w:t>
      </w:r>
      <w:r w:rsidRPr="00B03D14">
        <w:rPr>
          <w:lang w:val="en-GB"/>
        </w:rPr>
        <w:t xml:space="preserve">ection 50 of the </w:t>
      </w:r>
      <w:r w:rsidR="00F817C7" w:rsidRPr="00B03D14">
        <w:rPr>
          <w:lang w:val="en-GB"/>
        </w:rPr>
        <w:t>Act</w:t>
      </w:r>
    </w:p>
    <w:p w14:paraId="339F3B83" w14:textId="70936B1C" w:rsidR="002C770E" w:rsidRDefault="0006457D" w:rsidP="00B03D14">
      <w:pPr>
        <w:spacing w:line="276" w:lineRule="auto"/>
        <w:rPr>
          <w:rFonts w:ascii="Arial" w:eastAsia="Calibri" w:hAnsi="Arial" w:cs="Arial"/>
          <w:lang w:val="en-IE"/>
        </w:rPr>
      </w:pPr>
      <w:r w:rsidRPr="00BE156A">
        <w:rPr>
          <w:rFonts w:ascii="Arial" w:eastAsia="Calibri" w:hAnsi="Arial" w:cs="Arial"/>
          <w:lang w:val="en-IE"/>
        </w:rPr>
        <w:t xml:space="preserve">With effect from </w:t>
      </w:r>
      <w:r w:rsidR="009D36DB" w:rsidRPr="00BE156A">
        <w:rPr>
          <w:rFonts w:ascii="Arial" w:eastAsia="Calibri" w:hAnsi="Arial" w:cs="Arial"/>
          <w:lang w:val="en-IE"/>
        </w:rPr>
        <w:t>25 December 2013</w:t>
      </w:r>
      <w:r w:rsidR="007551E7" w:rsidRPr="00BE156A">
        <w:rPr>
          <w:rFonts w:ascii="Arial" w:eastAsia="Calibri" w:hAnsi="Arial" w:cs="Arial"/>
          <w:lang w:val="en-IE"/>
        </w:rPr>
        <w:t>,</w:t>
      </w:r>
      <w:r w:rsidRPr="00BE156A">
        <w:rPr>
          <w:rFonts w:ascii="Arial" w:eastAsia="Calibri" w:hAnsi="Arial" w:cs="Arial"/>
          <w:lang w:val="en-IE"/>
        </w:rPr>
        <w:t xml:space="preserve"> t</w:t>
      </w:r>
      <w:r w:rsidR="00583E46" w:rsidRPr="00BE156A">
        <w:rPr>
          <w:rFonts w:ascii="Arial" w:eastAsia="Calibri" w:hAnsi="Arial" w:cs="Arial"/>
          <w:lang w:val="en-IE"/>
        </w:rPr>
        <w:t>he Act</w:t>
      </w:r>
      <w:r w:rsidR="009156CB" w:rsidRPr="00BE156A">
        <w:rPr>
          <w:rFonts w:ascii="Arial" w:eastAsia="Calibri" w:hAnsi="Arial" w:cs="Arial"/>
          <w:lang w:val="en-IE"/>
        </w:rPr>
        <w:t xml:space="preserve"> </w:t>
      </w:r>
      <w:r w:rsidR="001E08B8" w:rsidRPr="00BE156A">
        <w:rPr>
          <w:rFonts w:ascii="Arial" w:eastAsia="Calibri" w:hAnsi="Arial" w:cs="Arial"/>
          <w:lang w:val="en-IE"/>
        </w:rPr>
        <w:t>p</w:t>
      </w:r>
      <w:r w:rsidR="00583E46" w:rsidRPr="00BE156A">
        <w:rPr>
          <w:rFonts w:ascii="Arial" w:eastAsia="Calibri" w:hAnsi="Arial" w:cs="Arial"/>
          <w:lang w:val="en-IE"/>
        </w:rPr>
        <w:t>ermits s</w:t>
      </w:r>
      <w:r w:rsidR="002C770E" w:rsidRPr="00BE156A">
        <w:rPr>
          <w:rFonts w:ascii="Arial" w:eastAsia="Calibri" w:hAnsi="Arial" w:cs="Arial"/>
          <w:lang w:val="en-IE"/>
        </w:rPr>
        <w:t>ection 50 reductions of pensioner benefits</w:t>
      </w:r>
      <w:r w:rsidR="00583E46" w:rsidRPr="00BE156A">
        <w:rPr>
          <w:rFonts w:ascii="Arial" w:eastAsia="Calibri" w:hAnsi="Arial" w:cs="Arial"/>
          <w:lang w:val="en-IE"/>
        </w:rPr>
        <w:t xml:space="preserve"> </w:t>
      </w:r>
      <w:r w:rsidR="00333E85" w:rsidRPr="00BE156A">
        <w:rPr>
          <w:rFonts w:ascii="Arial" w:eastAsia="Calibri" w:hAnsi="Arial" w:cs="Arial"/>
          <w:lang w:val="en-IE"/>
        </w:rPr>
        <w:t xml:space="preserve">currently in payment </w:t>
      </w:r>
      <w:r w:rsidR="00583E46" w:rsidRPr="00BE156A">
        <w:rPr>
          <w:rFonts w:ascii="Arial" w:eastAsia="Calibri" w:hAnsi="Arial" w:cs="Arial"/>
          <w:lang w:val="en-IE"/>
        </w:rPr>
        <w:t xml:space="preserve">and </w:t>
      </w:r>
      <w:r w:rsidR="002C770E" w:rsidRPr="00BE156A">
        <w:rPr>
          <w:rFonts w:ascii="Arial" w:eastAsia="Calibri" w:hAnsi="Arial" w:cs="Arial"/>
          <w:lang w:val="en-IE"/>
        </w:rPr>
        <w:t xml:space="preserve">not just future increases in pensioner benefits. </w:t>
      </w:r>
    </w:p>
    <w:p w14:paraId="2326CB72" w14:textId="77777777" w:rsidR="009D6C46" w:rsidRPr="00BE156A" w:rsidRDefault="009D6C46" w:rsidP="00B03D14">
      <w:pPr>
        <w:spacing w:line="276" w:lineRule="auto"/>
        <w:rPr>
          <w:rFonts w:ascii="Arial" w:eastAsia="Calibri" w:hAnsi="Arial" w:cs="Arial"/>
          <w:lang w:val="en-IE"/>
        </w:rPr>
      </w:pPr>
    </w:p>
    <w:p w14:paraId="7EBAEE5C" w14:textId="22579814" w:rsidR="002C770E" w:rsidRPr="009D6C46" w:rsidRDefault="002C770E" w:rsidP="00B03D14">
      <w:pPr>
        <w:spacing w:line="276" w:lineRule="auto"/>
        <w:rPr>
          <w:rFonts w:ascii="Arial" w:eastAsia="Calibri" w:hAnsi="Arial" w:cs="Arial"/>
          <w:lang w:val="en-IE"/>
        </w:rPr>
      </w:pPr>
      <w:r w:rsidRPr="00BE156A">
        <w:rPr>
          <w:rFonts w:ascii="Arial" w:eastAsia="Calibri" w:hAnsi="Arial" w:cs="Arial"/>
          <w:lang w:val="en-IE"/>
        </w:rPr>
        <w:t xml:space="preserve">There </w:t>
      </w:r>
      <w:r w:rsidRPr="009D6C46">
        <w:rPr>
          <w:rFonts w:ascii="Arial" w:eastAsia="Calibri" w:hAnsi="Arial" w:cs="Arial"/>
          <w:lang w:val="en-IE"/>
        </w:rPr>
        <w:t>will be limits on any such reductions, as outlined below:</w:t>
      </w:r>
    </w:p>
    <w:p w14:paraId="1571EB92" w14:textId="77777777" w:rsidR="009D6C46" w:rsidRPr="009D6C46" w:rsidRDefault="009D6C46" w:rsidP="00B03D14">
      <w:pPr>
        <w:spacing w:line="276" w:lineRule="auto"/>
        <w:rPr>
          <w:rFonts w:ascii="Arial" w:eastAsia="Calibri" w:hAnsi="Arial" w:cs="Arial"/>
          <w:lang w:val="en-IE"/>
        </w:rPr>
      </w:pPr>
    </w:p>
    <w:p w14:paraId="645738D7" w14:textId="77777777" w:rsidR="002C770E" w:rsidRPr="009D6C46" w:rsidRDefault="002C770E" w:rsidP="00B03D14">
      <w:pPr>
        <w:pStyle w:val="ListParagraph"/>
        <w:numPr>
          <w:ilvl w:val="0"/>
          <w:numId w:val="21"/>
        </w:numPr>
        <w:spacing w:after="0"/>
        <w:rPr>
          <w:rFonts w:ascii="Arial" w:eastAsia="Times New Roman" w:hAnsi="Arial" w:cs="Arial"/>
          <w:sz w:val="24"/>
          <w:szCs w:val="24"/>
        </w:rPr>
      </w:pPr>
      <w:r w:rsidRPr="009D6C46">
        <w:rPr>
          <w:rFonts w:ascii="Arial" w:hAnsi="Arial" w:cs="Arial"/>
          <w:sz w:val="24"/>
          <w:szCs w:val="24"/>
          <w:lang w:val="en-IE"/>
        </w:rPr>
        <w:t xml:space="preserve">A minimum </w:t>
      </w:r>
      <w:r w:rsidR="00BD4CF2" w:rsidRPr="009D6C46">
        <w:rPr>
          <w:rFonts w:ascii="Arial" w:hAnsi="Arial" w:cs="Arial"/>
          <w:sz w:val="24"/>
          <w:szCs w:val="24"/>
          <w:lang w:val="en-IE"/>
        </w:rPr>
        <w:t>floor</w:t>
      </w:r>
      <w:r w:rsidRPr="009D6C46">
        <w:rPr>
          <w:rFonts w:ascii="Arial" w:hAnsi="Arial" w:cs="Arial"/>
          <w:sz w:val="24"/>
          <w:szCs w:val="24"/>
          <w:lang w:val="en-IE"/>
        </w:rPr>
        <w:t xml:space="preserve"> of €12,000 applies. No reduction may be made from an annual pension of €12,000</w:t>
      </w:r>
      <w:r w:rsidR="00333E85" w:rsidRPr="009D6C46">
        <w:rPr>
          <w:rFonts w:ascii="Arial" w:hAnsi="Arial" w:cs="Arial"/>
          <w:sz w:val="24"/>
          <w:szCs w:val="24"/>
          <w:lang w:val="en-IE"/>
        </w:rPr>
        <w:t xml:space="preserve"> or l</w:t>
      </w:r>
      <w:r w:rsidR="001E08B8" w:rsidRPr="009D6C46">
        <w:rPr>
          <w:rFonts w:ascii="Arial" w:hAnsi="Arial" w:cs="Arial"/>
          <w:sz w:val="24"/>
          <w:szCs w:val="24"/>
          <w:lang w:val="en-IE"/>
        </w:rPr>
        <w:t>ess</w:t>
      </w:r>
      <w:r w:rsidRPr="009D6C46">
        <w:rPr>
          <w:rFonts w:ascii="Arial" w:hAnsi="Arial" w:cs="Arial"/>
          <w:sz w:val="24"/>
          <w:szCs w:val="24"/>
          <w:lang w:val="en-IE"/>
        </w:rPr>
        <w:t xml:space="preserve"> and no reduction may be made which reduces an annual pension to </w:t>
      </w:r>
      <w:r w:rsidR="009156CB" w:rsidRPr="009D6C46">
        <w:rPr>
          <w:rFonts w:ascii="Arial" w:hAnsi="Arial" w:cs="Arial"/>
          <w:sz w:val="24"/>
          <w:szCs w:val="24"/>
          <w:lang w:val="en-IE"/>
        </w:rPr>
        <w:t>below</w:t>
      </w:r>
      <w:r w:rsidRPr="009D6C46">
        <w:rPr>
          <w:rFonts w:ascii="Arial" w:hAnsi="Arial" w:cs="Arial"/>
          <w:sz w:val="24"/>
          <w:szCs w:val="24"/>
          <w:lang w:val="en-IE"/>
        </w:rPr>
        <w:t xml:space="preserve"> €12,000. </w:t>
      </w:r>
    </w:p>
    <w:p w14:paraId="012C8A9E" w14:textId="77777777" w:rsidR="002C770E" w:rsidRPr="009D6C46" w:rsidRDefault="002C770E" w:rsidP="00B03D14">
      <w:pPr>
        <w:pStyle w:val="ListParagraph"/>
        <w:spacing w:after="0"/>
        <w:ind w:left="709"/>
        <w:rPr>
          <w:rFonts w:ascii="Arial" w:hAnsi="Arial" w:cs="Arial"/>
          <w:sz w:val="24"/>
          <w:szCs w:val="24"/>
        </w:rPr>
      </w:pPr>
    </w:p>
    <w:p w14:paraId="24CE8234" w14:textId="77777777" w:rsidR="002C770E" w:rsidRPr="009D6C46" w:rsidRDefault="002C770E" w:rsidP="00B03D14">
      <w:pPr>
        <w:pStyle w:val="ListParagraph"/>
        <w:numPr>
          <w:ilvl w:val="0"/>
          <w:numId w:val="21"/>
        </w:numPr>
        <w:spacing w:after="0"/>
        <w:rPr>
          <w:rFonts w:ascii="Arial" w:hAnsi="Arial" w:cs="Arial"/>
          <w:sz w:val="24"/>
          <w:szCs w:val="24"/>
        </w:rPr>
      </w:pPr>
      <w:r w:rsidRPr="009D6C46">
        <w:rPr>
          <w:rFonts w:ascii="Arial" w:hAnsi="Arial" w:cs="Arial"/>
          <w:sz w:val="24"/>
          <w:szCs w:val="24"/>
          <w:lang w:val="en-IE"/>
        </w:rPr>
        <w:t>If an annual pension is over €12,000 and less than €60,000, a reduction may be made by a percentage no greater than 10%</w:t>
      </w:r>
      <w:r w:rsidR="00333E85" w:rsidRPr="009D6C46">
        <w:rPr>
          <w:rFonts w:ascii="Arial" w:hAnsi="Arial" w:cs="Arial"/>
          <w:sz w:val="24"/>
          <w:szCs w:val="24"/>
          <w:lang w:val="en-IE"/>
        </w:rPr>
        <w:t xml:space="preserve"> and</w:t>
      </w:r>
      <w:r w:rsidR="001E08B8" w:rsidRPr="009D6C46">
        <w:rPr>
          <w:rFonts w:ascii="Arial" w:hAnsi="Arial" w:cs="Arial"/>
          <w:sz w:val="24"/>
          <w:szCs w:val="24"/>
          <w:lang w:val="en-IE"/>
        </w:rPr>
        <w:t xml:space="preserve"> to an amount which is no less than €12,000</w:t>
      </w:r>
      <w:r w:rsidRPr="009D6C46">
        <w:rPr>
          <w:rFonts w:ascii="Arial" w:hAnsi="Arial" w:cs="Arial"/>
          <w:sz w:val="24"/>
          <w:szCs w:val="24"/>
          <w:lang w:val="en-IE"/>
        </w:rPr>
        <w:t xml:space="preserve">. </w:t>
      </w:r>
    </w:p>
    <w:p w14:paraId="2165BE37" w14:textId="77777777" w:rsidR="002C770E" w:rsidRPr="009D6C46" w:rsidRDefault="002C770E" w:rsidP="00B03D14">
      <w:pPr>
        <w:pStyle w:val="ListParagraph"/>
        <w:spacing w:after="0"/>
        <w:ind w:left="709"/>
        <w:rPr>
          <w:rFonts w:ascii="Arial" w:hAnsi="Arial" w:cs="Arial"/>
          <w:sz w:val="24"/>
          <w:szCs w:val="24"/>
        </w:rPr>
      </w:pPr>
    </w:p>
    <w:p w14:paraId="573F013C" w14:textId="4E66EB46" w:rsidR="00C501FB" w:rsidRPr="009D6C46" w:rsidRDefault="002C770E" w:rsidP="00B03D14">
      <w:pPr>
        <w:pStyle w:val="ListParagraph"/>
        <w:numPr>
          <w:ilvl w:val="0"/>
          <w:numId w:val="21"/>
        </w:numPr>
        <w:spacing w:after="0"/>
        <w:rPr>
          <w:rFonts w:ascii="Arial" w:hAnsi="Arial" w:cs="Arial"/>
          <w:sz w:val="24"/>
          <w:szCs w:val="24"/>
        </w:rPr>
      </w:pPr>
      <w:r w:rsidRPr="009D6C46">
        <w:rPr>
          <w:rFonts w:ascii="Arial" w:hAnsi="Arial" w:cs="Arial"/>
          <w:sz w:val="24"/>
          <w:szCs w:val="24"/>
          <w:lang w:val="en-IE"/>
        </w:rPr>
        <w:t xml:space="preserve">If an annual pension is €60,000 or more, a reduction may be made by a percentage no greater than 20% and to an amount which is no less than €54,000. </w:t>
      </w:r>
    </w:p>
    <w:p w14:paraId="5D5CAED9" w14:textId="77777777" w:rsidR="009D6C46" w:rsidRPr="009D6C46" w:rsidRDefault="009D6C46" w:rsidP="00B03D14">
      <w:pPr>
        <w:spacing w:line="276" w:lineRule="auto"/>
        <w:rPr>
          <w:rFonts w:ascii="Arial" w:hAnsi="Arial" w:cs="Arial"/>
        </w:rPr>
      </w:pPr>
    </w:p>
    <w:p w14:paraId="271F344D" w14:textId="77777777" w:rsidR="00B31310" w:rsidRPr="009D6C46" w:rsidRDefault="001E08B8" w:rsidP="00B03D14">
      <w:pPr>
        <w:spacing w:line="276" w:lineRule="auto"/>
        <w:rPr>
          <w:rFonts w:ascii="Arial" w:hAnsi="Arial" w:cs="Arial"/>
          <w:iCs/>
        </w:rPr>
      </w:pPr>
      <w:r w:rsidRPr="009D6C46">
        <w:rPr>
          <w:rFonts w:ascii="Arial" w:hAnsi="Arial" w:cs="Arial"/>
          <w:iCs/>
        </w:rPr>
        <w:t>N.B. The 10% and 20% are maximum</w:t>
      </w:r>
      <w:r w:rsidR="00E86CB8" w:rsidRPr="009D6C46">
        <w:rPr>
          <w:rFonts w:ascii="Arial" w:hAnsi="Arial" w:cs="Arial"/>
          <w:iCs/>
        </w:rPr>
        <w:t xml:space="preserve"> reduction</w:t>
      </w:r>
      <w:r w:rsidRPr="009D6C46">
        <w:rPr>
          <w:rFonts w:ascii="Arial" w:hAnsi="Arial" w:cs="Arial"/>
          <w:iCs/>
        </w:rPr>
        <w:t>s – the extent of the reduction which is necessary will depend upon the particular scheme deficit</w:t>
      </w:r>
      <w:r w:rsidR="00E64CC8" w:rsidRPr="009D6C46">
        <w:rPr>
          <w:rFonts w:ascii="Arial" w:hAnsi="Arial" w:cs="Arial"/>
          <w:iCs/>
        </w:rPr>
        <w:t xml:space="preserve"> and will be a matter for the scheme trustees</w:t>
      </w:r>
      <w:r w:rsidRPr="009D6C46">
        <w:rPr>
          <w:rFonts w:ascii="Arial" w:hAnsi="Arial" w:cs="Arial"/>
          <w:iCs/>
        </w:rPr>
        <w:t>.</w:t>
      </w:r>
    </w:p>
    <w:p w14:paraId="73263381" w14:textId="1423ECE6" w:rsidR="001E08B8" w:rsidRPr="00BE156A" w:rsidRDefault="009814EF" w:rsidP="00B03D14">
      <w:pPr>
        <w:spacing w:line="276" w:lineRule="auto"/>
        <w:rPr>
          <w:rFonts w:ascii="Arial" w:hAnsi="Arial" w:cs="Arial"/>
        </w:rPr>
      </w:pPr>
      <w:r>
        <w:rPr>
          <w:rFonts w:ascii="Arial" w:hAnsi="Arial" w:cs="Arial"/>
          <w:noProof/>
          <w:lang w:val="en-IE" w:eastAsia="en-IE"/>
        </w:rPr>
        <mc:AlternateContent>
          <mc:Choice Requires="wps">
            <w:drawing>
              <wp:anchor distT="0" distB="0" distL="114300" distR="114300" simplePos="0" relativeHeight="251665408" behindDoc="0" locked="0" layoutInCell="1" allowOverlap="1" wp14:anchorId="010F3B63" wp14:editId="035AA136">
                <wp:simplePos x="0" y="0"/>
                <wp:positionH relativeFrom="column">
                  <wp:posOffset>0</wp:posOffset>
                </wp:positionH>
                <wp:positionV relativeFrom="paragraph">
                  <wp:posOffset>76200</wp:posOffset>
                </wp:positionV>
                <wp:extent cx="5723255" cy="4000500"/>
                <wp:effectExtent l="0" t="0" r="1079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255" cy="4000500"/>
                        </a:xfrm>
                        <a:prstGeom prst="rect">
                          <a:avLst/>
                        </a:prstGeom>
                        <a:solidFill>
                          <a:srgbClr val="FFFFFF"/>
                        </a:solidFill>
                        <a:ln w="9525">
                          <a:solidFill>
                            <a:srgbClr val="000000"/>
                          </a:solidFill>
                          <a:miter lim="800000"/>
                          <a:headEnd/>
                          <a:tailEnd/>
                        </a:ln>
                      </wps:spPr>
                      <wps:txbx>
                        <w:txbxContent>
                          <w:p w14:paraId="23604ECC" w14:textId="77777777" w:rsidR="00DC75CF" w:rsidRPr="009D6C46" w:rsidRDefault="00DC75CF" w:rsidP="00B03D14">
                            <w:pPr>
                              <w:spacing w:line="276" w:lineRule="auto"/>
                              <w:rPr>
                                <w:rFonts w:ascii="Arial" w:hAnsi="Arial" w:cs="Arial"/>
                                <w:b/>
                                <w:sz w:val="22"/>
                                <w:szCs w:val="22"/>
                                <w:lang w:val="en-IE"/>
                              </w:rPr>
                            </w:pPr>
                            <w:r w:rsidRPr="009D6C46">
                              <w:rPr>
                                <w:rFonts w:ascii="Arial" w:hAnsi="Arial" w:cs="Arial"/>
                                <w:b/>
                                <w:sz w:val="22"/>
                                <w:szCs w:val="22"/>
                                <w:lang w:val="en-IE"/>
                              </w:rPr>
                              <w:t>Examples</w:t>
                            </w:r>
                          </w:p>
                          <w:p w14:paraId="40BBAE9E" w14:textId="77777777" w:rsidR="00DC75CF" w:rsidRPr="009D6C46" w:rsidRDefault="00DC75CF" w:rsidP="00B03D14">
                            <w:pPr>
                              <w:spacing w:line="276" w:lineRule="auto"/>
                              <w:rPr>
                                <w:rFonts w:ascii="Arial" w:hAnsi="Arial" w:cs="Arial"/>
                                <w:b/>
                                <w:sz w:val="22"/>
                                <w:szCs w:val="22"/>
                                <w:lang w:val="en-IE"/>
                              </w:rPr>
                            </w:pPr>
                          </w:p>
                          <w:p w14:paraId="7B26BA50" w14:textId="6EA7104F" w:rsidR="00DC75CF" w:rsidRPr="009D6C46" w:rsidRDefault="00DC75CF" w:rsidP="00B03D14">
                            <w:pPr>
                              <w:spacing w:line="276" w:lineRule="auto"/>
                              <w:rPr>
                                <w:rFonts w:ascii="Arial" w:hAnsi="Arial" w:cs="Arial"/>
                                <w:sz w:val="22"/>
                                <w:szCs w:val="22"/>
                                <w:lang w:val="en-IE"/>
                              </w:rPr>
                            </w:pPr>
                            <w:r w:rsidRPr="009D6C46">
                              <w:rPr>
                                <w:rFonts w:ascii="Arial" w:hAnsi="Arial" w:cs="Arial"/>
                                <w:sz w:val="22"/>
                                <w:szCs w:val="22"/>
                                <w:lang w:val="en-IE"/>
                              </w:rPr>
                              <w:t xml:space="preserve">The ABC pension scheme is underfunded. Its trustees apply to the Pensions </w:t>
                            </w:r>
                            <w:r w:rsidR="009D6C46">
                              <w:rPr>
                                <w:rFonts w:ascii="Arial" w:hAnsi="Arial" w:cs="Arial"/>
                                <w:sz w:val="22"/>
                                <w:szCs w:val="22"/>
                                <w:lang w:val="en-IE"/>
                              </w:rPr>
                              <w:t>Authority</w:t>
                            </w:r>
                            <w:r w:rsidRPr="009D6C46">
                              <w:rPr>
                                <w:rFonts w:ascii="Arial" w:hAnsi="Arial" w:cs="Arial"/>
                                <w:sz w:val="22"/>
                                <w:szCs w:val="22"/>
                                <w:lang w:val="en-IE"/>
                              </w:rPr>
                              <w:t xml:space="preserve"> for a section 50 direction </w:t>
                            </w:r>
                            <w:proofErr w:type="gramStart"/>
                            <w:r w:rsidRPr="009D6C46">
                              <w:rPr>
                                <w:rFonts w:ascii="Arial" w:hAnsi="Arial" w:cs="Arial"/>
                                <w:sz w:val="22"/>
                                <w:szCs w:val="22"/>
                                <w:lang w:val="en-IE"/>
                              </w:rPr>
                              <w:t>in order for</w:t>
                            </w:r>
                            <w:proofErr w:type="gramEnd"/>
                            <w:r w:rsidRPr="009D6C46">
                              <w:rPr>
                                <w:rFonts w:ascii="Arial" w:hAnsi="Arial" w:cs="Arial"/>
                                <w:sz w:val="22"/>
                                <w:szCs w:val="22"/>
                                <w:lang w:val="en-IE"/>
                              </w:rPr>
                              <w:t xml:space="preserve"> the scheme to meet the funding standard. Brian, Carol, Diarmaid and Emma are pensioner members of the scheme.</w:t>
                            </w:r>
                          </w:p>
                          <w:p w14:paraId="17C683E1" w14:textId="77777777" w:rsidR="00DC75CF" w:rsidRPr="009D6C46" w:rsidRDefault="00DC75CF" w:rsidP="00B03D14">
                            <w:pPr>
                              <w:spacing w:line="276" w:lineRule="auto"/>
                              <w:rPr>
                                <w:rFonts w:ascii="Arial" w:hAnsi="Arial" w:cs="Arial"/>
                                <w:sz w:val="22"/>
                                <w:szCs w:val="22"/>
                                <w:lang w:val="en-IE"/>
                              </w:rPr>
                            </w:pPr>
                          </w:p>
                          <w:p w14:paraId="35BE091C" w14:textId="77777777" w:rsidR="00DC75CF" w:rsidRPr="009D6C46" w:rsidRDefault="00DC75CF" w:rsidP="00B03D14">
                            <w:pPr>
                              <w:spacing w:line="276" w:lineRule="auto"/>
                              <w:rPr>
                                <w:rFonts w:ascii="Arial" w:hAnsi="Arial" w:cs="Arial"/>
                                <w:sz w:val="22"/>
                                <w:szCs w:val="22"/>
                                <w:lang w:val="en-IE"/>
                              </w:rPr>
                            </w:pPr>
                            <w:r w:rsidRPr="009D6C46">
                              <w:rPr>
                                <w:rFonts w:ascii="Arial" w:hAnsi="Arial" w:cs="Arial"/>
                                <w:sz w:val="22"/>
                                <w:szCs w:val="22"/>
                                <w:lang w:val="en-IE"/>
                              </w:rPr>
                              <w:t>Brian is receiving a pension of €12,000 per year. The trustees may not reduce Brian’s pension.</w:t>
                            </w:r>
                          </w:p>
                          <w:p w14:paraId="56703DC1" w14:textId="77777777" w:rsidR="00DC75CF" w:rsidRPr="009D6C46" w:rsidRDefault="00DC75CF" w:rsidP="00B03D14">
                            <w:pPr>
                              <w:pStyle w:val="ListParagraph"/>
                              <w:spacing w:after="0"/>
                              <w:ind w:left="360"/>
                              <w:rPr>
                                <w:rFonts w:ascii="Arial" w:hAnsi="Arial" w:cs="Arial"/>
                                <w:lang w:val="en-IE"/>
                              </w:rPr>
                            </w:pPr>
                          </w:p>
                          <w:p w14:paraId="2AFDF300" w14:textId="77777777" w:rsidR="00DC75CF" w:rsidRPr="009D6C46" w:rsidRDefault="00DC75CF" w:rsidP="00B03D14">
                            <w:pPr>
                              <w:spacing w:line="276" w:lineRule="auto"/>
                              <w:rPr>
                                <w:rFonts w:ascii="Arial" w:hAnsi="Arial" w:cs="Arial"/>
                                <w:sz w:val="22"/>
                                <w:szCs w:val="22"/>
                                <w:lang w:val="en-IE"/>
                              </w:rPr>
                            </w:pPr>
                            <w:r w:rsidRPr="009D6C46">
                              <w:rPr>
                                <w:rFonts w:ascii="Arial" w:hAnsi="Arial" w:cs="Arial"/>
                                <w:sz w:val="22"/>
                                <w:szCs w:val="22"/>
                                <w:lang w:val="en-IE"/>
                              </w:rPr>
                              <w:t>Carol is receiving a pension of €13,000 per year. The trustees may reduce Carol’s pension to no less than €12,000 and therefore may not reduce her pension by 10% because that would reduce her pension to below €12,000. However, they may reduce her pension by a lesser percentage which does not reduce her pension to below €12,000.</w:t>
                            </w:r>
                          </w:p>
                          <w:p w14:paraId="6B601154" w14:textId="77777777" w:rsidR="00DC75CF" w:rsidRPr="009D6C46" w:rsidRDefault="00DC75CF" w:rsidP="00B03D14">
                            <w:pPr>
                              <w:pStyle w:val="ListParagraph"/>
                              <w:spacing w:after="0"/>
                              <w:ind w:left="360"/>
                              <w:rPr>
                                <w:rFonts w:ascii="Arial" w:hAnsi="Arial" w:cs="Arial"/>
                                <w:lang w:val="en-IE"/>
                              </w:rPr>
                            </w:pPr>
                          </w:p>
                          <w:p w14:paraId="5F85A48C" w14:textId="77777777" w:rsidR="00DC75CF" w:rsidRPr="009D6C46" w:rsidRDefault="00DC75CF" w:rsidP="00B03D14">
                            <w:pPr>
                              <w:spacing w:line="276" w:lineRule="auto"/>
                              <w:rPr>
                                <w:rFonts w:ascii="Arial" w:hAnsi="Arial" w:cs="Arial"/>
                                <w:sz w:val="22"/>
                                <w:szCs w:val="22"/>
                                <w:lang w:val="en-IE"/>
                              </w:rPr>
                            </w:pPr>
                            <w:r w:rsidRPr="009D6C46">
                              <w:rPr>
                                <w:rFonts w:ascii="Arial" w:hAnsi="Arial" w:cs="Arial"/>
                                <w:sz w:val="22"/>
                                <w:szCs w:val="22"/>
                                <w:lang w:val="en-IE"/>
                              </w:rPr>
                              <w:t>Diarmaid is receiving a pension of €40,000 per year. The trustees may reduce Diarmaid’s pension by any percentage up to 10%.</w:t>
                            </w:r>
                          </w:p>
                          <w:p w14:paraId="25067164" w14:textId="77777777" w:rsidR="00DC75CF" w:rsidRPr="009D6C46" w:rsidRDefault="00DC75CF" w:rsidP="00B03D14">
                            <w:pPr>
                              <w:pStyle w:val="ListParagraph"/>
                              <w:spacing w:after="0"/>
                              <w:ind w:left="360"/>
                              <w:rPr>
                                <w:rFonts w:ascii="Arial" w:hAnsi="Arial" w:cs="Arial"/>
                                <w:lang w:val="en-IE"/>
                              </w:rPr>
                            </w:pPr>
                          </w:p>
                          <w:p w14:paraId="0338DDB4" w14:textId="77777777" w:rsidR="00DC75CF" w:rsidRPr="009D6C46" w:rsidRDefault="00DC75CF" w:rsidP="00B03D14">
                            <w:pPr>
                              <w:spacing w:line="276" w:lineRule="auto"/>
                              <w:rPr>
                                <w:rFonts w:ascii="Arial" w:hAnsi="Arial" w:cs="Arial"/>
                                <w:sz w:val="22"/>
                                <w:szCs w:val="22"/>
                                <w:lang w:val="en-IE"/>
                              </w:rPr>
                            </w:pPr>
                            <w:r w:rsidRPr="009D6C46">
                              <w:rPr>
                                <w:rFonts w:ascii="Arial" w:hAnsi="Arial" w:cs="Arial"/>
                                <w:sz w:val="22"/>
                                <w:szCs w:val="22"/>
                                <w:lang w:val="en-IE"/>
                              </w:rPr>
                              <w:t>Emma is receiving a pension of €62,000 per year. The trustees may reduce Emma’s pension to no less than €54,000 and therefore may not reduce her pension by 20% because that would reduce her pension to below €54,000. However, they may reduce her pension by a lesser percentage which does not reduce her pension to below €54,000.</w:t>
                            </w:r>
                          </w:p>
                          <w:p w14:paraId="379DE3BC" w14:textId="77777777" w:rsidR="00DC75CF" w:rsidRPr="009D6C46" w:rsidRDefault="00DC75CF" w:rsidP="009D6C46">
                            <w:pPr>
                              <w:spacing w:line="276" w:lineRule="auto"/>
                              <w:jc w:val="center"/>
                              <w:rPr>
                                <w:rFonts w:ascii="Arial" w:hAnsi="Arial" w:cs="Arial"/>
                                <w:b/>
                                <w:sz w:val="22"/>
                                <w:szCs w:val="22"/>
                                <w:lang w:val="en-IE"/>
                              </w:rPr>
                            </w:pPr>
                          </w:p>
                          <w:p w14:paraId="3F36769F" w14:textId="77777777" w:rsidR="00DC75CF" w:rsidRPr="009D6C46" w:rsidRDefault="00DC75CF" w:rsidP="009D6C46">
                            <w:pPr>
                              <w:spacing w:line="276" w:lineRule="auto"/>
                              <w:jc w:val="both"/>
                              <w:rPr>
                                <w:rFonts w:ascii="Arial" w:hAnsi="Arial" w:cs="Arial"/>
                                <w:sz w:val="22"/>
                                <w:szCs w:val="22"/>
                                <w:lang w:val="en-I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0F3B63" id="_x0000_s1030" type="#_x0000_t202" style="position:absolute;margin-left:0;margin-top:6pt;width:450.65pt;height: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">
                <v:textbox>
                  <w:txbxContent>
                    <w:p w14:paraId="23604ECC" w14:textId="77777777" w:rsidR="00DC75CF" w:rsidRPr="009D6C46" w:rsidRDefault="00DC75CF" w:rsidP="00B03D14">
                      <w:pPr>
                        <w:spacing w:line="276" w:lineRule="auto"/>
                        <w:rPr>
                          <w:rFonts w:ascii="Arial" w:hAnsi="Arial" w:cs="Arial"/>
                          <w:b/>
                          <w:sz w:val="22"/>
                          <w:szCs w:val="22"/>
                          <w:lang w:val="en-IE"/>
                        </w:rPr>
                      </w:pPr>
                      <w:r w:rsidRPr="009D6C46">
                        <w:rPr>
                          <w:rFonts w:ascii="Arial" w:hAnsi="Arial" w:cs="Arial"/>
                          <w:b/>
                          <w:sz w:val="22"/>
                          <w:szCs w:val="22"/>
                          <w:lang w:val="en-IE"/>
                        </w:rPr>
                        <w:t>Examples</w:t>
                      </w:r>
                    </w:p>
                    <w:p w14:paraId="40BBAE9E" w14:textId="77777777" w:rsidR="00DC75CF" w:rsidRPr="009D6C46" w:rsidRDefault="00DC75CF" w:rsidP="00B03D14">
                      <w:pPr>
                        <w:spacing w:line="276" w:lineRule="auto"/>
                        <w:rPr>
                          <w:rFonts w:ascii="Arial" w:hAnsi="Arial" w:cs="Arial"/>
                          <w:b/>
                          <w:sz w:val="22"/>
                          <w:szCs w:val="22"/>
                          <w:lang w:val="en-IE"/>
                        </w:rPr>
                      </w:pPr>
                    </w:p>
                    <w:p w14:paraId="7B26BA50" w14:textId="6EA7104F" w:rsidR="00DC75CF" w:rsidRPr="009D6C46" w:rsidRDefault="00DC75CF" w:rsidP="00B03D14">
                      <w:pPr>
                        <w:spacing w:line="276" w:lineRule="auto"/>
                        <w:rPr>
                          <w:rFonts w:ascii="Arial" w:hAnsi="Arial" w:cs="Arial"/>
                          <w:sz w:val="22"/>
                          <w:szCs w:val="22"/>
                          <w:lang w:val="en-IE"/>
                        </w:rPr>
                      </w:pPr>
                      <w:r w:rsidRPr="009D6C46">
                        <w:rPr>
                          <w:rFonts w:ascii="Arial" w:hAnsi="Arial" w:cs="Arial"/>
                          <w:sz w:val="22"/>
                          <w:szCs w:val="22"/>
                          <w:lang w:val="en-IE"/>
                        </w:rPr>
                        <w:t xml:space="preserve">The ABC pension scheme is underfunded. Its trustees apply to the Pensions </w:t>
                      </w:r>
                      <w:r w:rsidR="009D6C46">
                        <w:rPr>
                          <w:rFonts w:ascii="Arial" w:hAnsi="Arial" w:cs="Arial"/>
                          <w:sz w:val="22"/>
                          <w:szCs w:val="22"/>
                          <w:lang w:val="en-IE"/>
                        </w:rPr>
                        <w:t>Authority</w:t>
                      </w:r>
                      <w:r w:rsidRPr="009D6C46">
                        <w:rPr>
                          <w:rFonts w:ascii="Arial" w:hAnsi="Arial" w:cs="Arial"/>
                          <w:sz w:val="22"/>
                          <w:szCs w:val="22"/>
                          <w:lang w:val="en-IE"/>
                        </w:rPr>
                        <w:t xml:space="preserve"> for a section 50 direction </w:t>
                      </w:r>
                      <w:proofErr w:type="gramStart"/>
                      <w:r w:rsidRPr="009D6C46">
                        <w:rPr>
                          <w:rFonts w:ascii="Arial" w:hAnsi="Arial" w:cs="Arial"/>
                          <w:sz w:val="22"/>
                          <w:szCs w:val="22"/>
                          <w:lang w:val="en-IE"/>
                        </w:rPr>
                        <w:t>in order for</w:t>
                      </w:r>
                      <w:proofErr w:type="gramEnd"/>
                      <w:r w:rsidRPr="009D6C46">
                        <w:rPr>
                          <w:rFonts w:ascii="Arial" w:hAnsi="Arial" w:cs="Arial"/>
                          <w:sz w:val="22"/>
                          <w:szCs w:val="22"/>
                          <w:lang w:val="en-IE"/>
                        </w:rPr>
                        <w:t xml:space="preserve"> the scheme to meet the funding standard. Brian, Carol, Diarmaid and Emma are pensioner members of the scheme.</w:t>
                      </w:r>
                    </w:p>
                    <w:p w14:paraId="17C683E1" w14:textId="77777777" w:rsidR="00DC75CF" w:rsidRPr="009D6C46" w:rsidRDefault="00DC75CF" w:rsidP="00B03D14">
                      <w:pPr>
                        <w:spacing w:line="276" w:lineRule="auto"/>
                        <w:rPr>
                          <w:rFonts w:ascii="Arial" w:hAnsi="Arial" w:cs="Arial"/>
                          <w:sz w:val="22"/>
                          <w:szCs w:val="22"/>
                          <w:lang w:val="en-IE"/>
                        </w:rPr>
                      </w:pPr>
                    </w:p>
                    <w:p w14:paraId="35BE091C" w14:textId="77777777" w:rsidR="00DC75CF" w:rsidRPr="009D6C46" w:rsidRDefault="00DC75CF" w:rsidP="00B03D14">
                      <w:pPr>
                        <w:spacing w:line="276" w:lineRule="auto"/>
                        <w:rPr>
                          <w:rFonts w:ascii="Arial" w:hAnsi="Arial" w:cs="Arial"/>
                          <w:sz w:val="22"/>
                          <w:szCs w:val="22"/>
                          <w:lang w:val="en-IE"/>
                        </w:rPr>
                      </w:pPr>
                      <w:r w:rsidRPr="009D6C46">
                        <w:rPr>
                          <w:rFonts w:ascii="Arial" w:hAnsi="Arial" w:cs="Arial"/>
                          <w:sz w:val="22"/>
                          <w:szCs w:val="22"/>
                          <w:lang w:val="en-IE"/>
                        </w:rPr>
                        <w:t>Brian is receiving a pension of €12,000 per year. The trustees may not reduce Brian’s pension.</w:t>
                      </w:r>
                    </w:p>
                    <w:p w14:paraId="56703DC1" w14:textId="77777777" w:rsidR="00DC75CF" w:rsidRPr="009D6C46" w:rsidRDefault="00DC75CF" w:rsidP="00B03D14">
                      <w:pPr>
                        <w:pStyle w:val="ListParagraph"/>
                        <w:spacing w:after="0"/>
                        <w:ind w:left="360"/>
                        <w:rPr>
                          <w:rFonts w:ascii="Arial" w:hAnsi="Arial" w:cs="Arial"/>
                          <w:lang w:val="en-IE"/>
                        </w:rPr>
                      </w:pPr>
                    </w:p>
                    <w:p w14:paraId="2AFDF300" w14:textId="77777777" w:rsidR="00DC75CF" w:rsidRPr="009D6C46" w:rsidRDefault="00DC75CF" w:rsidP="00B03D14">
                      <w:pPr>
                        <w:spacing w:line="276" w:lineRule="auto"/>
                        <w:rPr>
                          <w:rFonts w:ascii="Arial" w:hAnsi="Arial" w:cs="Arial"/>
                          <w:sz w:val="22"/>
                          <w:szCs w:val="22"/>
                          <w:lang w:val="en-IE"/>
                        </w:rPr>
                      </w:pPr>
                      <w:r w:rsidRPr="009D6C46">
                        <w:rPr>
                          <w:rFonts w:ascii="Arial" w:hAnsi="Arial" w:cs="Arial"/>
                          <w:sz w:val="22"/>
                          <w:szCs w:val="22"/>
                          <w:lang w:val="en-IE"/>
                        </w:rPr>
                        <w:t>Carol is receiving a pension of €13,000 per year. The trustees may reduce Carol’s pension to no less than €12,000 and therefore may not reduce her pension by 10% because that would reduce her pension to below €12,000. However, they may reduce her pension by a lesser percentage which does not reduce her pension to below €12,000.</w:t>
                      </w:r>
                    </w:p>
                    <w:p w14:paraId="6B601154" w14:textId="77777777" w:rsidR="00DC75CF" w:rsidRPr="009D6C46" w:rsidRDefault="00DC75CF" w:rsidP="00B03D14">
                      <w:pPr>
                        <w:pStyle w:val="ListParagraph"/>
                        <w:spacing w:after="0"/>
                        <w:ind w:left="360"/>
                        <w:rPr>
                          <w:rFonts w:ascii="Arial" w:hAnsi="Arial" w:cs="Arial"/>
                          <w:lang w:val="en-IE"/>
                        </w:rPr>
                      </w:pPr>
                    </w:p>
                    <w:p w14:paraId="5F85A48C" w14:textId="77777777" w:rsidR="00DC75CF" w:rsidRPr="009D6C46" w:rsidRDefault="00DC75CF" w:rsidP="00B03D14">
                      <w:pPr>
                        <w:spacing w:line="276" w:lineRule="auto"/>
                        <w:rPr>
                          <w:rFonts w:ascii="Arial" w:hAnsi="Arial" w:cs="Arial"/>
                          <w:sz w:val="22"/>
                          <w:szCs w:val="22"/>
                          <w:lang w:val="en-IE"/>
                        </w:rPr>
                      </w:pPr>
                      <w:r w:rsidRPr="009D6C46">
                        <w:rPr>
                          <w:rFonts w:ascii="Arial" w:hAnsi="Arial" w:cs="Arial"/>
                          <w:sz w:val="22"/>
                          <w:szCs w:val="22"/>
                          <w:lang w:val="en-IE"/>
                        </w:rPr>
                        <w:t>Diarmaid is receiving a pension of €40,000 per year. The trustees may reduce Diarmaid’s pension by any percentage up to 10%.</w:t>
                      </w:r>
                    </w:p>
                    <w:p w14:paraId="25067164" w14:textId="77777777" w:rsidR="00DC75CF" w:rsidRPr="009D6C46" w:rsidRDefault="00DC75CF" w:rsidP="00B03D14">
                      <w:pPr>
                        <w:pStyle w:val="ListParagraph"/>
                        <w:spacing w:after="0"/>
                        <w:ind w:left="360"/>
                        <w:rPr>
                          <w:rFonts w:ascii="Arial" w:hAnsi="Arial" w:cs="Arial"/>
                          <w:lang w:val="en-IE"/>
                        </w:rPr>
                      </w:pPr>
                    </w:p>
                    <w:p w14:paraId="0338DDB4" w14:textId="77777777" w:rsidR="00DC75CF" w:rsidRPr="009D6C46" w:rsidRDefault="00DC75CF" w:rsidP="00B03D14">
                      <w:pPr>
                        <w:spacing w:line="276" w:lineRule="auto"/>
                        <w:rPr>
                          <w:rFonts w:ascii="Arial" w:hAnsi="Arial" w:cs="Arial"/>
                          <w:sz w:val="22"/>
                          <w:szCs w:val="22"/>
                          <w:lang w:val="en-IE"/>
                        </w:rPr>
                      </w:pPr>
                      <w:r w:rsidRPr="009D6C46">
                        <w:rPr>
                          <w:rFonts w:ascii="Arial" w:hAnsi="Arial" w:cs="Arial"/>
                          <w:sz w:val="22"/>
                          <w:szCs w:val="22"/>
                          <w:lang w:val="en-IE"/>
                        </w:rPr>
                        <w:t>Emma is receiving a pension of €62,000 per year. The trustees may reduce Emma’s pension to no less than €54,000 and therefore may not reduce her pension by 20% because that would reduce her pension to below €54,000. However, they may reduce her pension by a lesser percentage which does not reduce her pension to below €54,000.</w:t>
                      </w:r>
                    </w:p>
                    <w:p w14:paraId="379DE3BC" w14:textId="77777777" w:rsidR="00DC75CF" w:rsidRPr="009D6C46" w:rsidRDefault="00DC75CF" w:rsidP="009D6C46">
                      <w:pPr>
                        <w:spacing w:line="276" w:lineRule="auto"/>
                        <w:jc w:val="center"/>
                        <w:rPr>
                          <w:rFonts w:ascii="Arial" w:hAnsi="Arial" w:cs="Arial"/>
                          <w:b/>
                          <w:sz w:val="22"/>
                          <w:szCs w:val="22"/>
                          <w:lang w:val="en-IE"/>
                        </w:rPr>
                      </w:pPr>
                    </w:p>
                    <w:p w14:paraId="3F36769F" w14:textId="77777777" w:rsidR="00DC75CF" w:rsidRPr="009D6C46" w:rsidRDefault="00DC75CF" w:rsidP="009D6C46">
                      <w:pPr>
                        <w:spacing w:line="276" w:lineRule="auto"/>
                        <w:jc w:val="both"/>
                        <w:rPr>
                          <w:rFonts w:ascii="Arial" w:hAnsi="Arial" w:cs="Arial"/>
                          <w:sz w:val="22"/>
                          <w:szCs w:val="22"/>
                          <w:lang w:val="en-IE"/>
                        </w:rPr>
                      </w:pPr>
                    </w:p>
                  </w:txbxContent>
                </v:textbox>
              </v:shape>
            </w:pict>
          </mc:Fallback>
        </mc:AlternateContent>
      </w:r>
    </w:p>
    <w:p w14:paraId="1B92CB49" w14:textId="793583CB" w:rsidR="002C770E" w:rsidRPr="00BE156A" w:rsidRDefault="002C770E" w:rsidP="00B03D14">
      <w:pPr>
        <w:spacing w:line="276" w:lineRule="auto"/>
        <w:contextualSpacing/>
        <w:rPr>
          <w:rFonts w:ascii="Arial" w:hAnsi="Arial" w:cs="Arial"/>
        </w:rPr>
      </w:pPr>
    </w:p>
    <w:p w14:paraId="698D66E4" w14:textId="77777777" w:rsidR="002C770E" w:rsidRPr="00BE156A" w:rsidRDefault="002C770E" w:rsidP="00B03D14">
      <w:pPr>
        <w:spacing w:line="276" w:lineRule="auto"/>
        <w:rPr>
          <w:rFonts w:ascii="Arial" w:hAnsi="Arial" w:cs="Arial"/>
          <w:lang w:val="en-GB"/>
        </w:rPr>
      </w:pPr>
    </w:p>
    <w:p w14:paraId="70B11B95" w14:textId="77777777" w:rsidR="004634AD" w:rsidRPr="00BE156A" w:rsidRDefault="004634AD" w:rsidP="00B03D14">
      <w:pPr>
        <w:spacing w:line="276" w:lineRule="auto"/>
        <w:rPr>
          <w:rFonts w:ascii="Arial" w:hAnsi="Arial" w:cs="Arial"/>
        </w:rPr>
      </w:pPr>
    </w:p>
    <w:sectPr w:rsidR="004634AD" w:rsidRPr="00BE156A" w:rsidSect="00BE156A">
      <w:footerReference w:type="default" r:id="rId10"/>
      <w:pgSz w:w="11909" w:h="16834" w:code="9"/>
      <w:pgMar w:top="1440" w:right="1440" w:bottom="1702" w:left="1440" w:header="680" w:footer="680" w:gutter="0"/>
      <w:paperSrc w:first="262" w:other="26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4D2C6" w14:textId="77777777" w:rsidR="00DC75CF" w:rsidRDefault="00DC75CF">
      <w:r>
        <w:separator/>
      </w:r>
    </w:p>
  </w:endnote>
  <w:endnote w:type="continuationSeparator" w:id="0">
    <w:p w14:paraId="5A6C4B03" w14:textId="77777777" w:rsidR="00DC75CF" w:rsidRDefault="00DC7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F68F2" w14:textId="1987E501" w:rsidR="00DC75CF" w:rsidRPr="00BE156A" w:rsidRDefault="00BE156A" w:rsidP="00BE156A">
    <w:pPr>
      <w:pStyle w:val="Footer"/>
      <w:jc w:val="right"/>
      <w:rPr>
        <w:rFonts w:ascii="Arial" w:hAnsi="Arial" w:cs="Arial"/>
        <w:sz w:val="20"/>
        <w:szCs w:val="20"/>
      </w:rPr>
    </w:pPr>
    <w:r w:rsidRPr="00BE156A">
      <w:rPr>
        <w:rFonts w:ascii="Arial" w:hAnsi="Arial" w:cs="Arial"/>
        <w:sz w:val="20"/>
        <w:szCs w:val="20"/>
      </w:rPr>
      <w:t>Date published: January 2014</w:t>
    </w:r>
  </w:p>
  <w:p w14:paraId="0FC9E18F" w14:textId="77777777" w:rsidR="00DC75CF" w:rsidRPr="00506166" w:rsidRDefault="00DC75CF">
    <w:pPr>
      <w:pStyle w:val="Footer"/>
      <w:tabs>
        <w:tab w:val="clear" w:pos="8640"/>
        <w:tab w:val="right" w:pos="8976"/>
      </w:tabs>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314801"/>
      <w:docPartObj>
        <w:docPartGallery w:val="Page Numbers (Bottom of Page)"/>
        <w:docPartUnique/>
      </w:docPartObj>
    </w:sdtPr>
    <w:sdtEndPr/>
    <w:sdtContent>
      <w:sdt>
        <w:sdtPr>
          <w:id w:val="1728636285"/>
          <w:docPartObj>
            <w:docPartGallery w:val="Page Numbers (Top of Page)"/>
            <w:docPartUnique/>
          </w:docPartObj>
        </w:sdtPr>
        <w:sdtEndPr/>
        <w:sdtContent>
          <w:p w14:paraId="6469DAA3" w14:textId="3FAD26EF" w:rsidR="006A2A35" w:rsidRDefault="006A2A35">
            <w:pPr>
              <w:pStyle w:val="Footer"/>
              <w:jc w:val="center"/>
            </w:pPr>
            <w:r w:rsidRPr="006A2A35">
              <w:rPr>
                <w:rFonts w:ascii="Arial" w:hAnsi="Arial" w:cs="Arial"/>
                <w:sz w:val="20"/>
                <w:szCs w:val="20"/>
              </w:rPr>
              <w:t xml:space="preserve">Page </w:t>
            </w:r>
            <w:r w:rsidRPr="006A2A35">
              <w:rPr>
                <w:rFonts w:ascii="Arial" w:hAnsi="Arial" w:cs="Arial"/>
                <w:b/>
                <w:bCs/>
                <w:sz w:val="20"/>
                <w:szCs w:val="20"/>
              </w:rPr>
              <w:fldChar w:fldCharType="begin"/>
            </w:r>
            <w:r w:rsidRPr="006A2A35">
              <w:rPr>
                <w:rFonts w:ascii="Arial" w:hAnsi="Arial" w:cs="Arial"/>
                <w:b/>
                <w:bCs/>
                <w:sz w:val="20"/>
                <w:szCs w:val="20"/>
              </w:rPr>
              <w:instrText xml:space="preserve"> PAGE </w:instrText>
            </w:r>
            <w:r w:rsidRPr="006A2A35">
              <w:rPr>
                <w:rFonts w:ascii="Arial" w:hAnsi="Arial" w:cs="Arial"/>
                <w:b/>
                <w:bCs/>
                <w:sz w:val="20"/>
                <w:szCs w:val="20"/>
              </w:rPr>
              <w:fldChar w:fldCharType="separate"/>
            </w:r>
            <w:r w:rsidR="006E7DA7">
              <w:rPr>
                <w:rFonts w:ascii="Arial" w:hAnsi="Arial" w:cs="Arial"/>
                <w:b/>
                <w:bCs/>
                <w:noProof/>
                <w:sz w:val="20"/>
                <w:szCs w:val="20"/>
              </w:rPr>
              <w:t>5</w:t>
            </w:r>
            <w:r w:rsidRPr="006A2A35">
              <w:rPr>
                <w:rFonts w:ascii="Arial" w:hAnsi="Arial" w:cs="Arial"/>
                <w:b/>
                <w:bCs/>
                <w:sz w:val="20"/>
                <w:szCs w:val="20"/>
              </w:rPr>
              <w:fldChar w:fldCharType="end"/>
            </w:r>
            <w:r w:rsidRPr="006A2A35">
              <w:rPr>
                <w:rFonts w:ascii="Arial" w:hAnsi="Arial" w:cs="Arial"/>
                <w:sz w:val="20"/>
                <w:szCs w:val="20"/>
              </w:rPr>
              <w:t xml:space="preserve"> of </w:t>
            </w:r>
            <w:r w:rsidRPr="006A2A35">
              <w:rPr>
                <w:rFonts w:ascii="Arial" w:hAnsi="Arial" w:cs="Arial"/>
                <w:b/>
                <w:bCs/>
                <w:sz w:val="20"/>
                <w:szCs w:val="20"/>
              </w:rPr>
              <w:fldChar w:fldCharType="begin"/>
            </w:r>
            <w:r w:rsidRPr="006A2A35">
              <w:rPr>
                <w:rFonts w:ascii="Arial" w:hAnsi="Arial" w:cs="Arial"/>
                <w:b/>
                <w:bCs/>
                <w:sz w:val="20"/>
                <w:szCs w:val="20"/>
              </w:rPr>
              <w:instrText xml:space="preserve"> NUMPAGES  </w:instrText>
            </w:r>
            <w:r w:rsidRPr="006A2A35">
              <w:rPr>
                <w:rFonts w:ascii="Arial" w:hAnsi="Arial" w:cs="Arial"/>
                <w:b/>
                <w:bCs/>
                <w:sz w:val="20"/>
                <w:szCs w:val="20"/>
              </w:rPr>
              <w:fldChar w:fldCharType="separate"/>
            </w:r>
            <w:r w:rsidR="006E7DA7">
              <w:rPr>
                <w:rFonts w:ascii="Arial" w:hAnsi="Arial" w:cs="Arial"/>
                <w:b/>
                <w:bCs/>
                <w:noProof/>
                <w:sz w:val="20"/>
                <w:szCs w:val="20"/>
              </w:rPr>
              <w:t>5</w:t>
            </w:r>
            <w:r w:rsidRPr="006A2A35">
              <w:rPr>
                <w:rFonts w:ascii="Arial" w:hAnsi="Arial" w:cs="Arial"/>
                <w:b/>
                <w:bCs/>
                <w:sz w:val="20"/>
                <w:szCs w:val="20"/>
              </w:rPr>
              <w:fldChar w:fldCharType="end"/>
            </w:r>
          </w:p>
        </w:sdtContent>
      </w:sdt>
    </w:sdtContent>
  </w:sdt>
  <w:p w14:paraId="55083715" w14:textId="77777777" w:rsidR="006A2A35" w:rsidRPr="00506166" w:rsidRDefault="006A2A35">
    <w:pPr>
      <w:pStyle w:val="Footer"/>
      <w:tabs>
        <w:tab w:val="clear" w:pos="8640"/>
        <w:tab w:val="right" w:pos="8976"/>
      </w:tabs>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5F4B2" w14:textId="77777777" w:rsidR="00DC75CF" w:rsidRDefault="00DC75CF">
      <w:r>
        <w:separator/>
      </w:r>
    </w:p>
  </w:footnote>
  <w:footnote w:type="continuationSeparator" w:id="0">
    <w:p w14:paraId="35DE6787" w14:textId="77777777" w:rsidR="00DC75CF" w:rsidRDefault="00DC75CF">
      <w:r>
        <w:continuationSeparator/>
      </w:r>
    </w:p>
  </w:footnote>
  <w:footnote w:id="1">
    <w:p w14:paraId="13CEC1EC" w14:textId="0F88F5F0" w:rsidR="00DC75CF" w:rsidRPr="00E87815" w:rsidRDefault="00DC75CF" w:rsidP="009D6C46">
      <w:pPr>
        <w:pStyle w:val="FootnoteText"/>
        <w:jc w:val="both"/>
        <w:rPr>
          <w:rFonts w:ascii="Arial" w:hAnsi="Arial" w:cs="Arial"/>
          <w:lang w:val="en-IE"/>
        </w:rPr>
      </w:pPr>
      <w:r w:rsidRPr="00E87815">
        <w:rPr>
          <w:rStyle w:val="FootnoteReference"/>
          <w:rFonts w:ascii="Arial" w:hAnsi="Arial" w:cs="Arial"/>
        </w:rPr>
        <w:footnoteRef/>
      </w:r>
      <w:r w:rsidRPr="00E87815">
        <w:rPr>
          <w:rFonts w:ascii="Arial" w:hAnsi="Arial" w:cs="Arial"/>
        </w:rPr>
        <w:t xml:space="preserve"> </w:t>
      </w:r>
      <w:r w:rsidRPr="00E87815">
        <w:rPr>
          <w:rFonts w:ascii="Arial" w:hAnsi="Arial" w:cs="Arial"/>
          <w:lang w:val="en-IE"/>
        </w:rPr>
        <w:t xml:space="preserve"> Insolvency is defined in the Protection of Employees (Employers’ Insolvency) Act</w:t>
      </w:r>
      <w:r w:rsidR="00C174E7">
        <w:rPr>
          <w:rFonts w:ascii="Arial" w:hAnsi="Arial" w:cs="Arial"/>
          <w:lang w:val="en-IE"/>
        </w:rPr>
        <w:t>,</w:t>
      </w:r>
      <w:r w:rsidRPr="00E87815">
        <w:rPr>
          <w:rFonts w:ascii="Arial" w:hAnsi="Arial" w:cs="Arial"/>
          <w:lang w:val="en-IE"/>
        </w:rPr>
        <w:t xml:space="preserve"> 1984 and can include (for example) liquidations, receiverships, resolutions to wind up a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6513B" w14:textId="3C7368B7" w:rsidR="00DC75CF" w:rsidRDefault="00BE156A" w:rsidP="004634AD">
    <w:pPr>
      <w:pStyle w:val="Header"/>
      <w:jc w:val="center"/>
      <w:rPr>
        <w:rFonts w:ascii="Arial" w:hAnsi="Arial" w:cs="Arial"/>
        <w:i/>
        <w:sz w:val="22"/>
        <w:szCs w:val="22"/>
        <w:lang w:val="en-IE"/>
      </w:rPr>
    </w:pPr>
    <w:r>
      <w:rPr>
        <w:noProof/>
        <w:lang w:val="en-IE" w:eastAsia="en-IE"/>
      </w:rPr>
      <w:drawing>
        <wp:inline distT="0" distB="0" distL="0" distR="0" wp14:anchorId="50D8E772" wp14:editId="2C33E738">
          <wp:extent cx="1619250" cy="542925"/>
          <wp:effectExtent l="0" t="0" r="0" b="9525"/>
          <wp:docPr id="15" name="Picture 15"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 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42925"/>
                  </a:xfrm>
                  <a:prstGeom prst="rect">
                    <a:avLst/>
                  </a:prstGeom>
                  <a:noFill/>
                  <a:ln>
                    <a:noFill/>
                  </a:ln>
                </pic:spPr>
              </pic:pic>
            </a:graphicData>
          </a:graphic>
        </wp:inline>
      </w:drawing>
    </w:r>
  </w:p>
  <w:p w14:paraId="3285028F" w14:textId="77777777" w:rsidR="00BE156A" w:rsidRPr="002B0768" w:rsidRDefault="00BE156A" w:rsidP="004634AD">
    <w:pPr>
      <w:pStyle w:val="Header"/>
      <w:jc w:val="center"/>
      <w:rPr>
        <w:rFonts w:ascii="Arial" w:hAnsi="Arial" w:cs="Arial"/>
        <w:i/>
        <w:sz w:val="22"/>
        <w:szCs w:val="22"/>
        <w:lang w:val="en-I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40BBA"/>
    <w:multiLevelType w:val="hybridMultilevel"/>
    <w:tmpl w:val="D1927C98"/>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 w15:restartNumberingAfterBreak="0">
    <w:nsid w:val="16DD5A4B"/>
    <w:multiLevelType w:val="hybridMultilevel"/>
    <w:tmpl w:val="6D2A3BFC"/>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6F153DE"/>
    <w:multiLevelType w:val="hybridMultilevel"/>
    <w:tmpl w:val="31BC415C"/>
    <w:lvl w:ilvl="0" w:tplc="EB34F016">
      <w:start w:val="50"/>
      <w:numFmt w:val="bullet"/>
      <w:lvlText w:val="-"/>
      <w:lvlJc w:val="left"/>
      <w:pPr>
        <w:ind w:left="720" w:hanging="360"/>
      </w:pPr>
      <w:rPr>
        <w:rFonts w:ascii="Arial" w:eastAsia="Calibri" w:hAnsi="Arial" w:cs="Aria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18E132C6"/>
    <w:multiLevelType w:val="hybridMultilevel"/>
    <w:tmpl w:val="332C84D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90C20A4"/>
    <w:multiLevelType w:val="hybridMultilevel"/>
    <w:tmpl w:val="97ECA2F0"/>
    <w:lvl w:ilvl="0" w:tplc="B03EC3DE">
      <w:start w:val="48"/>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A880E39"/>
    <w:multiLevelType w:val="hybridMultilevel"/>
    <w:tmpl w:val="03F05B7A"/>
    <w:lvl w:ilvl="0" w:tplc="4D6801B6">
      <w:start w:val="50"/>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C9A7433"/>
    <w:multiLevelType w:val="hybridMultilevel"/>
    <w:tmpl w:val="1DE8BFF2"/>
    <w:lvl w:ilvl="0" w:tplc="707A8106">
      <w:start w:val="1"/>
      <w:numFmt w:val="lowerLetter"/>
      <w:lvlText w:val="(%1)"/>
      <w:lvlJc w:val="left"/>
      <w:pPr>
        <w:ind w:left="1077" w:hanging="360"/>
      </w:pPr>
      <w:rPr>
        <w:rFonts w:hint="default"/>
      </w:rPr>
    </w:lvl>
    <w:lvl w:ilvl="1" w:tplc="18090019" w:tentative="1">
      <w:start w:val="1"/>
      <w:numFmt w:val="lowerLetter"/>
      <w:lvlText w:val="%2."/>
      <w:lvlJc w:val="left"/>
      <w:pPr>
        <w:ind w:left="1797" w:hanging="360"/>
      </w:pPr>
    </w:lvl>
    <w:lvl w:ilvl="2" w:tplc="1809001B" w:tentative="1">
      <w:start w:val="1"/>
      <w:numFmt w:val="lowerRoman"/>
      <w:lvlText w:val="%3."/>
      <w:lvlJc w:val="right"/>
      <w:pPr>
        <w:ind w:left="2517" w:hanging="180"/>
      </w:pPr>
    </w:lvl>
    <w:lvl w:ilvl="3" w:tplc="1809000F" w:tentative="1">
      <w:start w:val="1"/>
      <w:numFmt w:val="decimal"/>
      <w:lvlText w:val="%4."/>
      <w:lvlJc w:val="left"/>
      <w:pPr>
        <w:ind w:left="3237" w:hanging="360"/>
      </w:pPr>
    </w:lvl>
    <w:lvl w:ilvl="4" w:tplc="18090019" w:tentative="1">
      <w:start w:val="1"/>
      <w:numFmt w:val="lowerLetter"/>
      <w:lvlText w:val="%5."/>
      <w:lvlJc w:val="left"/>
      <w:pPr>
        <w:ind w:left="3957" w:hanging="360"/>
      </w:pPr>
    </w:lvl>
    <w:lvl w:ilvl="5" w:tplc="1809001B" w:tentative="1">
      <w:start w:val="1"/>
      <w:numFmt w:val="lowerRoman"/>
      <w:lvlText w:val="%6."/>
      <w:lvlJc w:val="right"/>
      <w:pPr>
        <w:ind w:left="4677" w:hanging="180"/>
      </w:pPr>
    </w:lvl>
    <w:lvl w:ilvl="6" w:tplc="1809000F" w:tentative="1">
      <w:start w:val="1"/>
      <w:numFmt w:val="decimal"/>
      <w:lvlText w:val="%7."/>
      <w:lvlJc w:val="left"/>
      <w:pPr>
        <w:ind w:left="5397" w:hanging="360"/>
      </w:pPr>
    </w:lvl>
    <w:lvl w:ilvl="7" w:tplc="18090019" w:tentative="1">
      <w:start w:val="1"/>
      <w:numFmt w:val="lowerLetter"/>
      <w:lvlText w:val="%8."/>
      <w:lvlJc w:val="left"/>
      <w:pPr>
        <w:ind w:left="6117" w:hanging="360"/>
      </w:pPr>
    </w:lvl>
    <w:lvl w:ilvl="8" w:tplc="1809001B" w:tentative="1">
      <w:start w:val="1"/>
      <w:numFmt w:val="lowerRoman"/>
      <w:lvlText w:val="%9."/>
      <w:lvlJc w:val="right"/>
      <w:pPr>
        <w:ind w:left="6837" w:hanging="180"/>
      </w:pPr>
    </w:lvl>
  </w:abstractNum>
  <w:abstractNum w:abstractNumId="7" w15:restartNumberingAfterBreak="0">
    <w:nsid w:val="1E46207E"/>
    <w:multiLevelType w:val="hybridMultilevel"/>
    <w:tmpl w:val="7256A78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8" w15:restartNumberingAfterBreak="0">
    <w:nsid w:val="28CC4191"/>
    <w:multiLevelType w:val="hybridMultilevel"/>
    <w:tmpl w:val="54908F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C7815D5"/>
    <w:multiLevelType w:val="hybridMultilevel"/>
    <w:tmpl w:val="89EEEFB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6E91ACD"/>
    <w:multiLevelType w:val="hybridMultilevel"/>
    <w:tmpl w:val="B0B6C862"/>
    <w:lvl w:ilvl="0" w:tplc="681C7B4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D824320"/>
    <w:multiLevelType w:val="hybridMultilevel"/>
    <w:tmpl w:val="B97E9112"/>
    <w:lvl w:ilvl="0" w:tplc="4D5C1AF0">
      <w:numFmt w:val="bullet"/>
      <w:lvlText w:val="-"/>
      <w:lvlJc w:val="left"/>
      <w:pPr>
        <w:ind w:left="720" w:hanging="360"/>
      </w:pPr>
      <w:rPr>
        <w:rFonts w:ascii="Arial" w:eastAsia="Calibr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E4F68FD"/>
    <w:multiLevelType w:val="hybridMultilevel"/>
    <w:tmpl w:val="FA425B6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8503FEF"/>
    <w:multiLevelType w:val="hybridMultilevel"/>
    <w:tmpl w:val="E0DE2346"/>
    <w:lvl w:ilvl="0" w:tplc="0E52B1AE">
      <w:start w:val="14"/>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88E08ED"/>
    <w:multiLevelType w:val="hybridMultilevel"/>
    <w:tmpl w:val="6BEA5278"/>
    <w:lvl w:ilvl="0" w:tplc="AB488DE0">
      <w:start w:val="1"/>
      <w:numFmt w:val="lowerLetter"/>
      <w:lvlText w:val="(%1)"/>
      <w:lvlJc w:val="left"/>
      <w:pPr>
        <w:ind w:left="1800" w:hanging="360"/>
      </w:pPr>
    </w:lvl>
    <w:lvl w:ilvl="1" w:tplc="18090019">
      <w:start w:val="1"/>
      <w:numFmt w:val="lowerLetter"/>
      <w:lvlText w:val="%2."/>
      <w:lvlJc w:val="left"/>
      <w:pPr>
        <w:ind w:left="2520" w:hanging="360"/>
      </w:pPr>
    </w:lvl>
    <w:lvl w:ilvl="2" w:tplc="1809001B">
      <w:start w:val="1"/>
      <w:numFmt w:val="lowerRoman"/>
      <w:lvlText w:val="%3."/>
      <w:lvlJc w:val="right"/>
      <w:pPr>
        <w:ind w:left="3240" w:hanging="180"/>
      </w:pPr>
    </w:lvl>
    <w:lvl w:ilvl="3" w:tplc="1809000F">
      <w:start w:val="1"/>
      <w:numFmt w:val="decimal"/>
      <w:lvlText w:val="%4."/>
      <w:lvlJc w:val="left"/>
      <w:pPr>
        <w:ind w:left="3960" w:hanging="360"/>
      </w:pPr>
    </w:lvl>
    <w:lvl w:ilvl="4" w:tplc="18090019">
      <w:start w:val="1"/>
      <w:numFmt w:val="lowerLetter"/>
      <w:lvlText w:val="%5."/>
      <w:lvlJc w:val="left"/>
      <w:pPr>
        <w:ind w:left="4680" w:hanging="360"/>
      </w:pPr>
    </w:lvl>
    <w:lvl w:ilvl="5" w:tplc="1809001B">
      <w:start w:val="1"/>
      <w:numFmt w:val="lowerRoman"/>
      <w:lvlText w:val="%6."/>
      <w:lvlJc w:val="right"/>
      <w:pPr>
        <w:ind w:left="5400" w:hanging="180"/>
      </w:pPr>
    </w:lvl>
    <w:lvl w:ilvl="6" w:tplc="1809000F">
      <w:start w:val="1"/>
      <w:numFmt w:val="decimal"/>
      <w:lvlText w:val="%7."/>
      <w:lvlJc w:val="left"/>
      <w:pPr>
        <w:ind w:left="6120" w:hanging="360"/>
      </w:pPr>
    </w:lvl>
    <w:lvl w:ilvl="7" w:tplc="18090019">
      <w:start w:val="1"/>
      <w:numFmt w:val="lowerLetter"/>
      <w:lvlText w:val="%8."/>
      <w:lvlJc w:val="left"/>
      <w:pPr>
        <w:ind w:left="6840" w:hanging="360"/>
      </w:pPr>
    </w:lvl>
    <w:lvl w:ilvl="8" w:tplc="1809001B">
      <w:start w:val="1"/>
      <w:numFmt w:val="lowerRoman"/>
      <w:lvlText w:val="%9."/>
      <w:lvlJc w:val="right"/>
      <w:pPr>
        <w:ind w:left="7560" w:hanging="180"/>
      </w:pPr>
    </w:lvl>
  </w:abstractNum>
  <w:abstractNum w:abstractNumId="15" w15:restartNumberingAfterBreak="0">
    <w:nsid w:val="6B2C42F7"/>
    <w:multiLevelType w:val="hybridMultilevel"/>
    <w:tmpl w:val="5C3260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B8B7202"/>
    <w:multiLevelType w:val="hybridMultilevel"/>
    <w:tmpl w:val="0C489966"/>
    <w:lvl w:ilvl="0" w:tplc="681C7B4E">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7B360D7E"/>
    <w:multiLevelType w:val="hybridMultilevel"/>
    <w:tmpl w:val="BF18B1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7F7E4E26"/>
    <w:multiLevelType w:val="hybridMultilevel"/>
    <w:tmpl w:val="BA5291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FD90620"/>
    <w:multiLevelType w:val="hybridMultilevel"/>
    <w:tmpl w:val="EA845F2C"/>
    <w:lvl w:ilvl="0" w:tplc="681C7B4E">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5325721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37379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6125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9429858">
    <w:abstractNumId w:val="2"/>
  </w:num>
  <w:num w:numId="5" w16cid:durableId="572937643">
    <w:abstractNumId w:val="11"/>
  </w:num>
  <w:num w:numId="6" w16cid:durableId="1903100040">
    <w:abstractNumId w:val="4"/>
  </w:num>
  <w:num w:numId="7" w16cid:durableId="1717004824">
    <w:abstractNumId w:val="13"/>
  </w:num>
  <w:num w:numId="8" w16cid:durableId="1093286687">
    <w:abstractNumId w:val="5"/>
  </w:num>
  <w:num w:numId="9" w16cid:durableId="1436830971">
    <w:abstractNumId w:val="0"/>
  </w:num>
  <w:num w:numId="10" w16cid:durableId="1787196881">
    <w:abstractNumId w:val="17"/>
  </w:num>
  <w:num w:numId="11" w16cid:durableId="457649410">
    <w:abstractNumId w:val="9"/>
  </w:num>
  <w:num w:numId="12" w16cid:durableId="1205412687">
    <w:abstractNumId w:val="1"/>
  </w:num>
  <w:num w:numId="13" w16cid:durableId="329408645">
    <w:abstractNumId w:val="12"/>
  </w:num>
  <w:num w:numId="14" w16cid:durableId="1634748602">
    <w:abstractNumId w:val="3"/>
  </w:num>
  <w:num w:numId="15" w16cid:durableId="753160656">
    <w:abstractNumId w:val="18"/>
  </w:num>
  <w:num w:numId="16" w16cid:durableId="1562014966">
    <w:abstractNumId w:val="19"/>
  </w:num>
  <w:num w:numId="17" w16cid:durableId="1422802277">
    <w:abstractNumId w:val="6"/>
  </w:num>
  <w:num w:numId="18" w16cid:durableId="1542672533">
    <w:abstractNumId w:val="16"/>
  </w:num>
  <w:num w:numId="19" w16cid:durableId="1559244338">
    <w:abstractNumId w:val="10"/>
  </w:num>
  <w:num w:numId="20" w16cid:durableId="405736307">
    <w:abstractNumId w:val="8"/>
  </w:num>
  <w:num w:numId="21" w16cid:durableId="20577046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70E"/>
    <w:rsid w:val="00016DC9"/>
    <w:rsid w:val="000616F1"/>
    <w:rsid w:val="00061F13"/>
    <w:rsid w:val="0006457D"/>
    <w:rsid w:val="00073A51"/>
    <w:rsid w:val="00075B5D"/>
    <w:rsid w:val="00085CEE"/>
    <w:rsid w:val="000971AC"/>
    <w:rsid w:val="000C4D20"/>
    <w:rsid w:val="000C6818"/>
    <w:rsid w:val="000F403B"/>
    <w:rsid w:val="001038D9"/>
    <w:rsid w:val="00151A51"/>
    <w:rsid w:val="00157175"/>
    <w:rsid w:val="00163215"/>
    <w:rsid w:val="001E08B8"/>
    <w:rsid w:val="002073D0"/>
    <w:rsid w:val="0024725A"/>
    <w:rsid w:val="0025250D"/>
    <w:rsid w:val="002B0C4E"/>
    <w:rsid w:val="002C770E"/>
    <w:rsid w:val="00320C37"/>
    <w:rsid w:val="00327BC2"/>
    <w:rsid w:val="00333E85"/>
    <w:rsid w:val="003C78DB"/>
    <w:rsid w:val="00441667"/>
    <w:rsid w:val="004634AD"/>
    <w:rsid w:val="00464B87"/>
    <w:rsid w:val="00470E61"/>
    <w:rsid w:val="00490302"/>
    <w:rsid w:val="004F7668"/>
    <w:rsid w:val="00583E46"/>
    <w:rsid w:val="005D380F"/>
    <w:rsid w:val="00635FA0"/>
    <w:rsid w:val="00694E21"/>
    <w:rsid w:val="006A2A35"/>
    <w:rsid w:val="006C290C"/>
    <w:rsid w:val="006E7DA7"/>
    <w:rsid w:val="00721091"/>
    <w:rsid w:val="007551E7"/>
    <w:rsid w:val="007658C1"/>
    <w:rsid w:val="007730A5"/>
    <w:rsid w:val="007B5874"/>
    <w:rsid w:val="00817D01"/>
    <w:rsid w:val="00826F51"/>
    <w:rsid w:val="008A1D3C"/>
    <w:rsid w:val="008E1F4B"/>
    <w:rsid w:val="008F55A4"/>
    <w:rsid w:val="00904E3A"/>
    <w:rsid w:val="009156CB"/>
    <w:rsid w:val="009508A0"/>
    <w:rsid w:val="009814EF"/>
    <w:rsid w:val="009A718A"/>
    <w:rsid w:val="009D1534"/>
    <w:rsid w:val="009D36DB"/>
    <w:rsid w:val="009D6C46"/>
    <w:rsid w:val="00A41EFB"/>
    <w:rsid w:val="00A56BC2"/>
    <w:rsid w:val="00A83D81"/>
    <w:rsid w:val="00AC2D80"/>
    <w:rsid w:val="00B03D14"/>
    <w:rsid w:val="00B31310"/>
    <w:rsid w:val="00B40F82"/>
    <w:rsid w:val="00B60EFC"/>
    <w:rsid w:val="00B977A7"/>
    <w:rsid w:val="00BD4CF2"/>
    <w:rsid w:val="00BE156A"/>
    <w:rsid w:val="00C174E7"/>
    <w:rsid w:val="00C501FB"/>
    <w:rsid w:val="00C55036"/>
    <w:rsid w:val="00C87A26"/>
    <w:rsid w:val="00CB33C2"/>
    <w:rsid w:val="00CD140C"/>
    <w:rsid w:val="00D118B2"/>
    <w:rsid w:val="00D1372E"/>
    <w:rsid w:val="00D16161"/>
    <w:rsid w:val="00D549A3"/>
    <w:rsid w:val="00D632B2"/>
    <w:rsid w:val="00D65E07"/>
    <w:rsid w:val="00DC58B2"/>
    <w:rsid w:val="00DC75CF"/>
    <w:rsid w:val="00DD13FB"/>
    <w:rsid w:val="00DE2F75"/>
    <w:rsid w:val="00DF6E16"/>
    <w:rsid w:val="00DF7570"/>
    <w:rsid w:val="00E537FE"/>
    <w:rsid w:val="00E5625A"/>
    <w:rsid w:val="00E63BB2"/>
    <w:rsid w:val="00E647C7"/>
    <w:rsid w:val="00E64CC8"/>
    <w:rsid w:val="00E671DF"/>
    <w:rsid w:val="00E73638"/>
    <w:rsid w:val="00E86CB8"/>
    <w:rsid w:val="00E87815"/>
    <w:rsid w:val="00EA5743"/>
    <w:rsid w:val="00F047D1"/>
    <w:rsid w:val="00F73083"/>
    <w:rsid w:val="00F817C7"/>
    <w:rsid w:val="00FD2A5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48A6B"/>
  <w15:docId w15:val="{141B16B6-E0BD-4427-8CDB-F326FDC10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D14"/>
    <w:pPr>
      <w:spacing w:after="0" w:line="240" w:lineRule="auto"/>
    </w:pPr>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A83D81"/>
    <w:pPr>
      <w:keepNext/>
      <w:keepLines/>
      <w:spacing w:before="480"/>
      <w:outlineLvl w:val="0"/>
    </w:pPr>
    <w:rPr>
      <w:rFonts w:eastAsiaTheme="majorEastAsia" w:cstheme="majorBidi"/>
      <w:b/>
      <w:bCs/>
      <w:sz w:val="28"/>
      <w:szCs w:val="28"/>
    </w:rPr>
  </w:style>
  <w:style w:type="paragraph" w:styleId="Heading2">
    <w:name w:val="heading 2"/>
    <w:basedOn w:val="Normal"/>
    <w:next w:val="Normal"/>
    <w:link w:val="Heading2Char"/>
    <w:uiPriority w:val="9"/>
    <w:semiHidden/>
    <w:unhideWhenUsed/>
    <w:qFormat/>
    <w:rsid w:val="00A83D81"/>
    <w:pPr>
      <w:keepNext/>
      <w:keepLines/>
      <w:spacing w:before="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B03D14"/>
    <w:pPr>
      <w:keepNext/>
      <w:keepLines/>
      <w:spacing w:line="276" w:lineRule="auto"/>
      <w:outlineLvl w:val="2"/>
    </w:pPr>
    <w:rPr>
      <w:rFonts w:ascii="Arial" w:eastAsiaTheme="majorEastAsia" w:hAnsi="Arial"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83D81"/>
    <w:pPr>
      <w:spacing w:after="300"/>
      <w:contextualSpacing/>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A83D81"/>
    <w:rPr>
      <w:rFonts w:eastAsiaTheme="majorEastAsia" w:cstheme="majorBidi"/>
      <w:b/>
      <w:spacing w:val="5"/>
      <w:kern w:val="28"/>
      <w:sz w:val="32"/>
      <w:szCs w:val="52"/>
    </w:rPr>
  </w:style>
  <w:style w:type="character" w:customStyle="1" w:styleId="Heading1Char">
    <w:name w:val="Heading 1 Char"/>
    <w:basedOn w:val="DefaultParagraphFont"/>
    <w:link w:val="Heading1"/>
    <w:uiPriority w:val="9"/>
    <w:rsid w:val="00A83D81"/>
    <w:rPr>
      <w:rFonts w:eastAsiaTheme="majorEastAsia" w:cstheme="majorBidi"/>
      <w:b/>
      <w:bCs/>
      <w:sz w:val="28"/>
      <w:szCs w:val="28"/>
    </w:rPr>
  </w:style>
  <w:style w:type="character" w:customStyle="1" w:styleId="Heading2Char">
    <w:name w:val="Heading 2 Char"/>
    <w:basedOn w:val="DefaultParagraphFont"/>
    <w:link w:val="Heading2"/>
    <w:uiPriority w:val="9"/>
    <w:semiHidden/>
    <w:rsid w:val="00A83D81"/>
    <w:rPr>
      <w:rFonts w:eastAsiaTheme="majorEastAsia" w:cstheme="majorBidi"/>
      <w:b/>
      <w:bCs/>
      <w:szCs w:val="26"/>
    </w:rPr>
  </w:style>
  <w:style w:type="paragraph" w:styleId="Header">
    <w:name w:val="header"/>
    <w:basedOn w:val="Normal"/>
    <w:link w:val="HeaderChar"/>
    <w:rsid w:val="002C770E"/>
    <w:pPr>
      <w:tabs>
        <w:tab w:val="center" w:pos="4320"/>
        <w:tab w:val="right" w:pos="8640"/>
      </w:tabs>
    </w:pPr>
  </w:style>
  <w:style w:type="character" w:customStyle="1" w:styleId="HeaderChar">
    <w:name w:val="Header Char"/>
    <w:basedOn w:val="DefaultParagraphFont"/>
    <w:link w:val="Header"/>
    <w:rsid w:val="002C770E"/>
    <w:rPr>
      <w:rFonts w:ascii="Times New Roman" w:eastAsia="Times New Roman" w:hAnsi="Times New Roman" w:cs="Times New Roman"/>
      <w:lang w:val="en-US"/>
    </w:rPr>
  </w:style>
  <w:style w:type="paragraph" w:styleId="Footer">
    <w:name w:val="footer"/>
    <w:basedOn w:val="Normal"/>
    <w:link w:val="FooterChar"/>
    <w:uiPriority w:val="99"/>
    <w:rsid w:val="002C770E"/>
    <w:pPr>
      <w:tabs>
        <w:tab w:val="center" w:pos="4320"/>
        <w:tab w:val="right" w:pos="8640"/>
      </w:tabs>
    </w:pPr>
  </w:style>
  <w:style w:type="character" w:customStyle="1" w:styleId="FooterChar">
    <w:name w:val="Footer Char"/>
    <w:basedOn w:val="DefaultParagraphFont"/>
    <w:link w:val="Footer"/>
    <w:uiPriority w:val="99"/>
    <w:rsid w:val="002C770E"/>
    <w:rPr>
      <w:rFonts w:ascii="Times New Roman" w:eastAsia="Times New Roman" w:hAnsi="Times New Roman" w:cs="Times New Roman"/>
      <w:lang w:val="en-US"/>
    </w:rPr>
  </w:style>
  <w:style w:type="paragraph" w:styleId="ListParagraph">
    <w:name w:val="List Paragraph"/>
    <w:basedOn w:val="Normal"/>
    <w:uiPriority w:val="34"/>
    <w:qFormat/>
    <w:rsid w:val="002C770E"/>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6C290C"/>
    <w:rPr>
      <w:rFonts w:ascii="Tahoma" w:hAnsi="Tahoma" w:cs="Tahoma"/>
      <w:sz w:val="16"/>
      <w:szCs w:val="16"/>
    </w:rPr>
  </w:style>
  <w:style w:type="character" w:customStyle="1" w:styleId="BalloonTextChar">
    <w:name w:val="Balloon Text Char"/>
    <w:basedOn w:val="DefaultParagraphFont"/>
    <w:link w:val="BalloonText"/>
    <w:uiPriority w:val="99"/>
    <w:semiHidden/>
    <w:rsid w:val="006C290C"/>
    <w:rPr>
      <w:rFonts w:ascii="Tahoma" w:eastAsia="Times New Roman" w:hAnsi="Tahoma" w:cs="Tahoma"/>
      <w:sz w:val="16"/>
      <w:szCs w:val="16"/>
      <w:lang w:val="en-US"/>
    </w:rPr>
  </w:style>
  <w:style w:type="paragraph" w:styleId="FootnoteText">
    <w:name w:val="footnote text"/>
    <w:basedOn w:val="Normal"/>
    <w:link w:val="FootnoteTextChar"/>
    <w:uiPriority w:val="99"/>
    <w:semiHidden/>
    <w:unhideWhenUsed/>
    <w:rsid w:val="00DE2F75"/>
    <w:rPr>
      <w:sz w:val="20"/>
      <w:szCs w:val="20"/>
    </w:rPr>
  </w:style>
  <w:style w:type="character" w:customStyle="1" w:styleId="FootnoteTextChar">
    <w:name w:val="Footnote Text Char"/>
    <w:basedOn w:val="DefaultParagraphFont"/>
    <w:link w:val="FootnoteText"/>
    <w:uiPriority w:val="99"/>
    <w:semiHidden/>
    <w:rsid w:val="00DE2F75"/>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DE2F75"/>
    <w:rPr>
      <w:vertAlign w:val="superscript"/>
    </w:rPr>
  </w:style>
  <w:style w:type="paragraph" w:customStyle="1" w:styleId="Default">
    <w:name w:val="Default"/>
    <w:rsid w:val="000616F1"/>
    <w:pPr>
      <w:autoSpaceDE w:val="0"/>
      <w:autoSpaceDN w:val="0"/>
      <w:adjustRightInd w:val="0"/>
      <w:spacing w:after="0" w:line="240" w:lineRule="auto"/>
    </w:pPr>
    <w:rPr>
      <w:color w:val="000000"/>
    </w:rPr>
  </w:style>
  <w:style w:type="character" w:styleId="Hyperlink">
    <w:name w:val="Hyperlink"/>
    <w:basedOn w:val="DefaultParagraphFont"/>
    <w:uiPriority w:val="99"/>
    <w:unhideWhenUsed/>
    <w:rsid w:val="000616F1"/>
    <w:rPr>
      <w:color w:val="0000FF" w:themeColor="hyperlink"/>
      <w:u w:val="single"/>
    </w:rPr>
  </w:style>
  <w:style w:type="paragraph" w:styleId="Revision">
    <w:name w:val="Revision"/>
    <w:hidden/>
    <w:uiPriority w:val="99"/>
    <w:semiHidden/>
    <w:rsid w:val="00B40F82"/>
    <w:pPr>
      <w:spacing w:after="0" w:line="240" w:lineRule="auto"/>
    </w:pPr>
    <w:rPr>
      <w:rFonts w:ascii="Times New Roman" w:eastAsia="Times New Roman" w:hAnsi="Times New Roman" w:cs="Times New Roman"/>
      <w:lang w:val="en-US"/>
    </w:rPr>
  </w:style>
  <w:style w:type="character" w:customStyle="1" w:styleId="Heading3Char">
    <w:name w:val="Heading 3 Char"/>
    <w:basedOn w:val="DefaultParagraphFont"/>
    <w:link w:val="Heading3"/>
    <w:uiPriority w:val="9"/>
    <w:rsid w:val="00B03D14"/>
    <w:rPr>
      <w:rFonts w:eastAsiaTheme="majorEastAsia" w:cstheme="majorBidi"/>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C4697-42D9-4724-B703-4BA6CB2BB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Kenny</dc:creator>
  <cp:lastModifiedBy>Aideen Bugler (Pensions Authority)</cp:lastModifiedBy>
  <cp:revision>3</cp:revision>
  <cp:lastPrinted>2023-06-14T09:09:00Z</cp:lastPrinted>
  <dcterms:created xsi:type="dcterms:W3CDTF">2026-04-22T09:26:00Z</dcterms:created>
  <dcterms:modified xsi:type="dcterms:W3CDTF">2026-04-22T09:29:00Z</dcterms:modified>
</cp:coreProperties>
</file>