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554E1" w14:textId="7774E958" w:rsidR="007B08AF" w:rsidRDefault="007B08AF" w:rsidP="00B04675">
      <w:pPr>
        <w:spacing w:after="0" w:line="276" w:lineRule="auto"/>
        <w:ind w:left="30" w:firstLine="0"/>
        <w:jc w:val="center"/>
        <w:rPr>
          <w:b/>
          <w:color w:val="auto"/>
          <w:sz w:val="32"/>
          <w:szCs w:val="32"/>
        </w:rPr>
      </w:pPr>
    </w:p>
    <w:p w14:paraId="680BCFBB" w14:textId="5A281C7B" w:rsidR="007B08AF" w:rsidRDefault="007B08AF" w:rsidP="00B04675">
      <w:pPr>
        <w:spacing w:after="0" w:line="276" w:lineRule="auto"/>
        <w:ind w:left="30" w:firstLine="0"/>
        <w:jc w:val="center"/>
        <w:rPr>
          <w:b/>
          <w:color w:val="auto"/>
          <w:sz w:val="32"/>
          <w:szCs w:val="32"/>
        </w:rPr>
      </w:pPr>
    </w:p>
    <w:p w14:paraId="4FD984DB" w14:textId="5489F7C5" w:rsidR="007B08AF" w:rsidRDefault="007B08AF" w:rsidP="00B04675">
      <w:pPr>
        <w:spacing w:after="0" w:line="276" w:lineRule="auto"/>
        <w:ind w:left="30" w:firstLine="0"/>
        <w:jc w:val="center"/>
        <w:rPr>
          <w:b/>
          <w:color w:val="auto"/>
          <w:sz w:val="48"/>
          <w:szCs w:val="48"/>
        </w:rPr>
      </w:pPr>
    </w:p>
    <w:p w14:paraId="4BF31430" w14:textId="165AF5ED" w:rsidR="007B08AF" w:rsidRDefault="007B08AF" w:rsidP="00B04675">
      <w:pPr>
        <w:spacing w:after="0" w:line="276" w:lineRule="auto"/>
        <w:ind w:left="30" w:firstLine="0"/>
        <w:jc w:val="center"/>
        <w:rPr>
          <w:b/>
          <w:color w:val="auto"/>
          <w:sz w:val="48"/>
          <w:szCs w:val="48"/>
        </w:rPr>
      </w:pPr>
    </w:p>
    <w:p w14:paraId="3A993979" w14:textId="583677F5" w:rsidR="007B08AF" w:rsidRDefault="007B08AF" w:rsidP="00B04675">
      <w:pPr>
        <w:spacing w:after="0" w:line="276" w:lineRule="auto"/>
        <w:ind w:left="30" w:firstLine="0"/>
        <w:jc w:val="center"/>
        <w:rPr>
          <w:b/>
          <w:color w:val="auto"/>
          <w:sz w:val="48"/>
          <w:szCs w:val="48"/>
        </w:rPr>
      </w:pPr>
    </w:p>
    <w:p w14:paraId="3CA4DCDA" w14:textId="77777777" w:rsidR="00B53E4C" w:rsidRDefault="00B53E4C" w:rsidP="00B04675">
      <w:pPr>
        <w:spacing w:after="0" w:line="276" w:lineRule="auto"/>
        <w:ind w:left="30" w:firstLine="0"/>
        <w:jc w:val="center"/>
        <w:rPr>
          <w:b/>
          <w:color w:val="auto"/>
          <w:sz w:val="48"/>
          <w:szCs w:val="48"/>
        </w:rPr>
      </w:pPr>
    </w:p>
    <w:p w14:paraId="30190075" w14:textId="187944EC" w:rsidR="007B08AF" w:rsidRDefault="007B08AF" w:rsidP="00B04675">
      <w:pPr>
        <w:spacing w:after="0" w:line="276" w:lineRule="auto"/>
        <w:ind w:left="30" w:firstLine="0"/>
        <w:jc w:val="center"/>
        <w:rPr>
          <w:b/>
          <w:color w:val="auto"/>
          <w:sz w:val="48"/>
          <w:szCs w:val="48"/>
        </w:rPr>
      </w:pPr>
    </w:p>
    <w:p w14:paraId="7F55D491" w14:textId="77777777" w:rsidR="007B08AF" w:rsidRPr="00B53E4C" w:rsidRDefault="007B08AF" w:rsidP="00B04675">
      <w:pPr>
        <w:spacing w:after="0" w:line="276" w:lineRule="auto"/>
        <w:ind w:left="30" w:firstLine="0"/>
        <w:jc w:val="center"/>
        <w:rPr>
          <w:b/>
          <w:color w:val="auto"/>
          <w:sz w:val="32"/>
          <w:szCs w:val="32"/>
        </w:rPr>
      </w:pPr>
    </w:p>
    <w:p w14:paraId="5EBE1E71" w14:textId="77777777" w:rsidR="007B08AF" w:rsidRPr="007B08AF" w:rsidRDefault="007B08AF" w:rsidP="00B04675">
      <w:pPr>
        <w:spacing w:after="0" w:line="276" w:lineRule="auto"/>
        <w:ind w:left="30" w:firstLine="0"/>
        <w:jc w:val="center"/>
        <w:rPr>
          <w:b/>
          <w:color w:val="auto"/>
          <w:sz w:val="48"/>
          <w:szCs w:val="48"/>
        </w:rPr>
      </w:pPr>
    </w:p>
    <w:p w14:paraId="498ECE7B" w14:textId="2F04C0D6" w:rsidR="007B08AF" w:rsidRDefault="007B08AF" w:rsidP="007B08AF">
      <w:pPr>
        <w:spacing w:after="0" w:line="276" w:lineRule="auto"/>
        <w:ind w:left="30" w:firstLine="0"/>
        <w:jc w:val="center"/>
        <w:rPr>
          <w:b/>
          <w:color w:val="auto"/>
          <w:sz w:val="48"/>
          <w:szCs w:val="48"/>
        </w:rPr>
      </w:pPr>
      <w:r>
        <w:rPr>
          <w:b/>
          <w:color w:val="auto"/>
          <w:sz w:val="48"/>
          <w:szCs w:val="48"/>
        </w:rPr>
        <w:t>Guidance n</w:t>
      </w:r>
      <w:r w:rsidRPr="007B08AF">
        <w:rPr>
          <w:b/>
          <w:color w:val="auto"/>
          <w:sz w:val="48"/>
          <w:szCs w:val="48"/>
        </w:rPr>
        <w:t>ote on pension transfers outside the State</w:t>
      </w:r>
    </w:p>
    <w:p w14:paraId="64669FBE" w14:textId="16E85B38" w:rsidR="00B53E4C" w:rsidRPr="00B53E4C" w:rsidRDefault="00B53E4C" w:rsidP="007B08AF">
      <w:pPr>
        <w:spacing w:after="0" w:line="276" w:lineRule="auto"/>
        <w:ind w:left="30" w:firstLine="0"/>
        <w:jc w:val="center"/>
        <w:rPr>
          <w:b/>
          <w:color w:val="auto"/>
          <w:sz w:val="12"/>
          <w:szCs w:val="12"/>
        </w:rPr>
      </w:pPr>
    </w:p>
    <w:p w14:paraId="2B451F83" w14:textId="5F985945" w:rsidR="007B08AF" w:rsidRDefault="007B08AF" w:rsidP="007B08AF">
      <w:pPr>
        <w:spacing w:after="0" w:line="276" w:lineRule="auto"/>
        <w:ind w:left="30" w:firstLine="0"/>
        <w:jc w:val="center"/>
        <w:rPr>
          <w:b/>
          <w:color w:val="auto"/>
          <w:sz w:val="48"/>
          <w:szCs w:val="48"/>
        </w:rPr>
      </w:pPr>
    </w:p>
    <w:p w14:paraId="72A594E3" w14:textId="20428451" w:rsidR="007B08AF" w:rsidRDefault="007B08AF" w:rsidP="007B08AF">
      <w:pPr>
        <w:spacing w:after="0" w:line="276" w:lineRule="auto"/>
        <w:ind w:left="30" w:firstLine="0"/>
        <w:jc w:val="center"/>
        <w:rPr>
          <w:b/>
          <w:color w:val="auto"/>
          <w:sz w:val="48"/>
          <w:szCs w:val="48"/>
        </w:rPr>
      </w:pPr>
    </w:p>
    <w:p w14:paraId="32DAEC52" w14:textId="77777777" w:rsidR="007B08AF" w:rsidRDefault="007B08AF" w:rsidP="007B08AF">
      <w:pPr>
        <w:spacing w:after="0" w:line="276" w:lineRule="auto"/>
        <w:ind w:left="30" w:firstLine="0"/>
        <w:jc w:val="center"/>
        <w:rPr>
          <w:b/>
          <w:color w:val="auto"/>
          <w:sz w:val="48"/>
          <w:szCs w:val="48"/>
        </w:rPr>
      </w:pPr>
    </w:p>
    <w:p w14:paraId="01C96989" w14:textId="208B02B9" w:rsidR="007B08AF" w:rsidRDefault="007B08AF" w:rsidP="007B08AF">
      <w:pPr>
        <w:spacing w:after="0" w:line="276" w:lineRule="auto"/>
        <w:ind w:left="30" w:firstLine="0"/>
        <w:jc w:val="center"/>
        <w:rPr>
          <w:b/>
          <w:color w:val="auto"/>
          <w:sz w:val="48"/>
          <w:szCs w:val="48"/>
        </w:rPr>
      </w:pPr>
    </w:p>
    <w:p w14:paraId="0FF4330D" w14:textId="77777777" w:rsidR="007B08AF" w:rsidRPr="007B08AF" w:rsidRDefault="007B08AF" w:rsidP="007B08AF">
      <w:pPr>
        <w:spacing w:after="0" w:line="276" w:lineRule="auto"/>
        <w:ind w:left="30" w:firstLine="0"/>
        <w:jc w:val="center"/>
        <w:rPr>
          <w:color w:val="auto"/>
          <w:sz w:val="48"/>
          <w:szCs w:val="48"/>
        </w:rPr>
      </w:pPr>
    </w:p>
    <w:tbl>
      <w:tblPr>
        <w:tblStyle w:val="TableGrid"/>
        <w:tblW w:w="0" w:type="auto"/>
        <w:tblInd w:w="30" w:type="dxa"/>
        <w:tblLook w:val="04A0" w:firstRow="1" w:lastRow="0" w:firstColumn="1" w:lastColumn="0" w:noHBand="0" w:noVBand="1"/>
      </w:tblPr>
      <w:tblGrid>
        <w:gridCol w:w="8966"/>
      </w:tblGrid>
      <w:tr w:rsidR="007B08AF" w14:paraId="26546234" w14:textId="77777777" w:rsidTr="000D27A2">
        <w:tc>
          <w:tcPr>
            <w:tcW w:w="8966" w:type="dxa"/>
            <w:tcBorders>
              <w:top w:val="single" w:sz="12" w:space="0" w:color="auto"/>
              <w:left w:val="single" w:sz="12" w:space="0" w:color="auto"/>
              <w:bottom w:val="single" w:sz="12" w:space="0" w:color="auto"/>
              <w:right w:val="single" w:sz="12" w:space="0" w:color="auto"/>
            </w:tcBorders>
            <w:vAlign w:val="center"/>
          </w:tcPr>
          <w:p w14:paraId="3C19D152" w14:textId="77777777" w:rsidR="007B08AF" w:rsidRPr="001B44ED" w:rsidRDefault="007B08AF" w:rsidP="007B08AF">
            <w:pPr>
              <w:spacing w:after="0" w:line="276" w:lineRule="auto"/>
              <w:ind w:left="360"/>
              <w:jc w:val="left"/>
              <w:rPr>
                <w:rFonts w:ascii="Calibri" w:hAnsi="Calibri"/>
                <w:color w:val="1F497D"/>
                <w:lang w:val="en-US" w:eastAsia="en-GB"/>
              </w:rPr>
            </w:pPr>
          </w:p>
          <w:p w14:paraId="4580016B" w14:textId="77777777" w:rsidR="007B08AF" w:rsidRPr="001B44ED" w:rsidRDefault="007B08AF" w:rsidP="007B08AF">
            <w:pPr>
              <w:spacing w:after="0" w:line="276" w:lineRule="auto"/>
              <w:ind w:left="164" w:right="169"/>
              <w:jc w:val="left"/>
              <w:rPr>
                <w:b/>
                <w:iCs/>
                <w:sz w:val="24"/>
                <w:szCs w:val="24"/>
                <w:lang w:val="en-US" w:eastAsia="en-GB"/>
              </w:rPr>
            </w:pPr>
            <w:r w:rsidRPr="001B44ED">
              <w:rPr>
                <w:b/>
                <w:iCs/>
                <w:sz w:val="24"/>
                <w:szCs w:val="24"/>
                <w:lang w:val="en-US" w:eastAsia="en-GB"/>
              </w:rPr>
              <w:t>Disclaimer</w:t>
            </w:r>
          </w:p>
          <w:p w14:paraId="5AC33C69" w14:textId="77777777" w:rsidR="007B08AF" w:rsidRPr="001B44ED" w:rsidRDefault="007B08AF" w:rsidP="007B08AF">
            <w:pPr>
              <w:spacing w:after="0" w:line="276" w:lineRule="auto"/>
              <w:ind w:left="164" w:right="169"/>
              <w:jc w:val="left"/>
              <w:rPr>
                <w:iCs/>
                <w:sz w:val="24"/>
                <w:szCs w:val="24"/>
                <w:lang w:val="en-US" w:eastAsia="en-GB"/>
              </w:rPr>
            </w:pPr>
          </w:p>
          <w:p w14:paraId="0EF1807C" w14:textId="332733BF" w:rsidR="007B08AF" w:rsidRPr="001B44ED" w:rsidRDefault="007B08AF" w:rsidP="0071686D">
            <w:pPr>
              <w:spacing w:after="0" w:line="276" w:lineRule="auto"/>
              <w:ind w:left="164" w:right="169"/>
              <w:rPr>
                <w:sz w:val="24"/>
                <w:szCs w:val="24"/>
              </w:rPr>
            </w:pPr>
            <w:r w:rsidRPr="001B44ED">
              <w:rPr>
                <w:iCs/>
                <w:sz w:val="24"/>
                <w:szCs w:val="24"/>
                <w:lang w:val="en-US" w:eastAsia="en-GB"/>
              </w:rPr>
              <w:t xml:space="preserve">The Pensions Authority have made every effort to ensure that this </w:t>
            </w:r>
            <w:r w:rsidR="0010335F">
              <w:rPr>
                <w:iCs/>
                <w:sz w:val="24"/>
                <w:szCs w:val="24"/>
                <w:lang w:val="en-US" w:eastAsia="en-GB"/>
              </w:rPr>
              <w:t>document</w:t>
            </w:r>
            <w:r w:rsidRPr="001B44ED">
              <w:rPr>
                <w:iCs/>
                <w:sz w:val="24"/>
                <w:szCs w:val="24"/>
                <w:lang w:val="en-US" w:eastAsia="en-GB"/>
              </w:rPr>
              <w:t xml:space="preserve"> is correct. However, no liability whatsoever is accepted by the Pensions Authority, its servants or </w:t>
            </w:r>
            <w:proofErr w:type="gramStart"/>
            <w:r w:rsidRPr="001B44ED">
              <w:rPr>
                <w:iCs/>
                <w:sz w:val="24"/>
                <w:szCs w:val="24"/>
                <w:lang w:val="en-US" w:eastAsia="en-GB"/>
              </w:rPr>
              <w:t>agents</w:t>
            </w:r>
            <w:proofErr w:type="gramEnd"/>
            <w:r w:rsidRPr="001B44ED">
              <w:rPr>
                <w:iCs/>
                <w:sz w:val="24"/>
                <w:szCs w:val="24"/>
                <w:lang w:val="en-US" w:eastAsia="en-GB"/>
              </w:rPr>
              <w:t xml:space="preserve"> for any errors or omissions in the information contained in this </w:t>
            </w:r>
            <w:r w:rsidR="0010335F">
              <w:rPr>
                <w:iCs/>
                <w:sz w:val="24"/>
                <w:szCs w:val="24"/>
                <w:lang w:val="en-US" w:eastAsia="en-GB"/>
              </w:rPr>
              <w:t>document</w:t>
            </w:r>
            <w:r w:rsidRPr="001B44ED">
              <w:rPr>
                <w:iCs/>
                <w:sz w:val="24"/>
                <w:szCs w:val="24"/>
                <w:lang w:val="en-US" w:eastAsia="en-GB"/>
              </w:rPr>
              <w:t xml:space="preserve"> or for any loss occasioned to any person acting or refraining from acting </w:t>
            </w:r>
            <w:proofErr w:type="gramStart"/>
            <w:r w:rsidRPr="001B44ED">
              <w:rPr>
                <w:iCs/>
                <w:sz w:val="24"/>
                <w:szCs w:val="24"/>
                <w:lang w:val="en-US" w:eastAsia="en-GB"/>
              </w:rPr>
              <w:t>as a result of</w:t>
            </w:r>
            <w:proofErr w:type="gramEnd"/>
            <w:r w:rsidRPr="001B44ED">
              <w:rPr>
                <w:iCs/>
                <w:sz w:val="24"/>
                <w:szCs w:val="24"/>
                <w:lang w:val="en-US" w:eastAsia="en-GB"/>
              </w:rPr>
              <w:t xml:space="preserve"> the information in this </w:t>
            </w:r>
            <w:r w:rsidR="0010335F">
              <w:rPr>
                <w:iCs/>
                <w:sz w:val="24"/>
                <w:szCs w:val="24"/>
                <w:lang w:val="en-US" w:eastAsia="en-GB"/>
              </w:rPr>
              <w:t>document</w:t>
            </w:r>
            <w:r w:rsidRPr="001B44ED">
              <w:rPr>
                <w:iCs/>
                <w:sz w:val="24"/>
                <w:szCs w:val="24"/>
                <w:lang w:val="en-US" w:eastAsia="en-GB"/>
              </w:rPr>
              <w:t>.</w:t>
            </w:r>
          </w:p>
          <w:p w14:paraId="2622F66C" w14:textId="77777777" w:rsidR="007B08AF" w:rsidRDefault="007B08AF" w:rsidP="007B08AF">
            <w:pPr>
              <w:spacing w:after="0" w:line="276" w:lineRule="auto"/>
              <w:ind w:left="0" w:firstLine="0"/>
              <w:jc w:val="left"/>
              <w:rPr>
                <w:b/>
                <w:color w:val="auto"/>
                <w:sz w:val="32"/>
                <w:szCs w:val="32"/>
              </w:rPr>
            </w:pPr>
          </w:p>
        </w:tc>
      </w:tr>
    </w:tbl>
    <w:p w14:paraId="4CD505AF" w14:textId="77777777" w:rsidR="000D27A2" w:rsidRDefault="000D27A2" w:rsidP="00B04675">
      <w:pPr>
        <w:spacing w:after="0" w:line="276" w:lineRule="auto"/>
        <w:ind w:left="30" w:firstLine="0"/>
        <w:jc w:val="center"/>
        <w:rPr>
          <w:b/>
          <w:color w:val="auto"/>
          <w:sz w:val="32"/>
          <w:szCs w:val="32"/>
        </w:rPr>
        <w:sectPr w:rsidR="000D27A2" w:rsidSect="00D263C4">
          <w:headerReference w:type="default" r:id="rId8"/>
          <w:footerReference w:type="default" r:id="rId9"/>
          <w:pgSz w:w="11906" w:h="16838"/>
          <w:pgMar w:top="1440" w:right="1440" w:bottom="1440" w:left="1440" w:header="720" w:footer="720" w:gutter="0"/>
          <w:cols w:space="720"/>
          <w:docGrid w:linePitch="299"/>
        </w:sectPr>
      </w:pPr>
    </w:p>
    <w:p w14:paraId="5E22B0FF" w14:textId="62F044C3" w:rsidR="00D263C4" w:rsidRPr="007B08AF" w:rsidRDefault="007B08AF" w:rsidP="00677299">
      <w:pPr>
        <w:pStyle w:val="Heading3"/>
        <w:jc w:val="left"/>
      </w:pPr>
      <w:r w:rsidRPr="007B08AF">
        <w:lastRenderedPageBreak/>
        <w:t>Introduction</w:t>
      </w:r>
    </w:p>
    <w:p w14:paraId="73ECFE13" w14:textId="7FC11398" w:rsidR="007111F2" w:rsidRDefault="000A0AF8" w:rsidP="00677299">
      <w:pPr>
        <w:spacing w:after="0" w:line="276" w:lineRule="auto"/>
        <w:ind w:left="-5"/>
        <w:jc w:val="left"/>
        <w:rPr>
          <w:sz w:val="24"/>
          <w:szCs w:val="24"/>
        </w:rPr>
      </w:pPr>
      <w:r>
        <w:rPr>
          <w:sz w:val="24"/>
          <w:szCs w:val="24"/>
        </w:rPr>
        <w:t>S</w:t>
      </w:r>
      <w:r w:rsidR="00323AFA" w:rsidRPr="00D263C4">
        <w:rPr>
          <w:sz w:val="24"/>
          <w:szCs w:val="24"/>
        </w:rPr>
        <w:t xml:space="preserve">ome occupational pension scheme members and </w:t>
      </w:r>
      <w:r w:rsidR="0010335F">
        <w:rPr>
          <w:sz w:val="24"/>
          <w:szCs w:val="24"/>
        </w:rPr>
        <w:t>p</w:t>
      </w:r>
      <w:r w:rsidR="0072181C" w:rsidRPr="00D263C4">
        <w:rPr>
          <w:sz w:val="24"/>
          <w:szCs w:val="24"/>
        </w:rPr>
        <w:t>ers</w:t>
      </w:r>
      <w:r w:rsidR="0072181C">
        <w:rPr>
          <w:sz w:val="24"/>
          <w:szCs w:val="24"/>
        </w:rPr>
        <w:t xml:space="preserve">onal </w:t>
      </w:r>
      <w:r w:rsidR="0010335F">
        <w:rPr>
          <w:sz w:val="24"/>
          <w:szCs w:val="24"/>
        </w:rPr>
        <w:t>r</w:t>
      </w:r>
      <w:r w:rsidR="0072181C">
        <w:rPr>
          <w:sz w:val="24"/>
          <w:szCs w:val="24"/>
        </w:rPr>
        <w:t xml:space="preserve">etirement </w:t>
      </w:r>
      <w:r w:rsidR="0010335F">
        <w:rPr>
          <w:sz w:val="24"/>
          <w:szCs w:val="24"/>
        </w:rPr>
        <w:t>s</w:t>
      </w:r>
      <w:r w:rsidR="0072181C">
        <w:rPr>
          <w:sz w:val="24"/>
          <w:szCs w:val="24"/>
        </w:rPr>
        <w:t xml:space="preserve">avings </w:t>
      </w:r>
      <w:r w:rsidR="0010335F">
        <w:rPr>
          <w:sz w:val="24"/>
          <w:szCs w:val="24"/>
        </w:rPr>
        <w:t>a</w:t>
      </w:r>
      <w:r w:rsidR="0072181C">
        <w:rPr>
          <w:sz w:val="24"/>
          <w:szCs w:val="24"/>
        </w:rPr>
        <w:t>ccount</w:t>
      </w:r>
      <w:r w:rsidR="0072181C" w:rsidRPr="00D263C4">
        <w:rPr>
          <w:sz w:val="24"/>
          <w:szCs w:val="24"/>
        </w:rPr>
        <w:t xml:space="preserve"> </w:t>
      </w:r>
      <w:r w:rsidR="0072181C">
        <w:rPr>
          <w:sz w:val="24"/>
          <w:szCs w:val="24"/>
        </w:rPr>
        <w:t>(</w:t>
      </w:r>
      <w:r w:rsidR="00323AFA" w:rsidRPr="00D263C4">
        <w:rPr>
          <w:sz w:val="24"/>
          <w:szCs w:val="24"/>
        </w:rPr>
        <w:t>PRSA</w:t>
      </w:r>
      <w:r w:rsidR="0072181C">
        <w:rPr>
          <w:sz w:val="24"/>
          <w:szCs w:val="24"/>
        </w:rPr>
        <w:t>)</w:t>
      </w:r>
      <w:r w:rsidR="00323AFA" w:rsidRPr="00D263C4">
        <w:rPr>
          <w:sz w:val="24"/>
          <w:szCs w:val="24"/>
        </w:rPr>
        <w:t xml:space="preserve"> contributors request transfers of their pension savings to arrangements established outside the State. The purpose of this </w:t>
      </w:r>
      <w:r w:rsidR="00B629D0">
        <w:rPr>
          <w:sz w:val="24"/>
          <w:szCs w:val="24"/>
        </w:rPr>
        <w:t xml:space="preserve">guidance </w:t>
      </w:r>
      <w:r w:rsidR="00323AFA" w:rsidRPr="00D263C4">
        <w:rPr>
          <w:sz w:val="24"/>
          <w:szCs w:val="24"/>
        </w:rPr>
        <w:t xml:space="preserve">note is to:  </w:t>
      </w:r>
    </w:p>
    <w:p w14:paraId="65DC1E21" w14:textId="77777777" w:rsidR="00D263C4" w:rsidRPr="00D263C4" w:rsidRDefault="00D263C4" w:rsidP="00677299">
      <w:pPr>
        <w:spacing w:after="0" w:line="276" w:lineRule="auto"/>
        <w:ind w:left="-5"/>
        <w:jc w:val="left"/>
        <w:rPr>
          <w:sz w:val="24"/>
          <w:szCs w:val="24"/>
        </w:rPr>
      </w:pPr>
    </w:p>
    <w:p w14:paraId="487CC250" w14:textId="77777777" w:rsidR="007111F2" w:rsidRPr="006D0045" w:rsidRDefault="00323AFA" w:rsidP="00677299">
      <w:pPr>
        <w:pStyle w:val="ListParagraph"/>
        <w:numPr>
          <w:ilvl w:val="0"/>
          <w:numId w:val="11"/>
        </w:numPr>
        <w:spacing w:after="0" w:line="276" w:lineRule="auto"/>
        <w:jc w:val="left"/>
        <w:rPr>
          <w:sz w:val="24"/>
          <w:szCs w:val="24"/>
        </w:rPr>
      </w:pPr>
      <w:r w:rsidRPr="006D0045">
        <w:rPr>
          <w:sz w:val="24"/>
          <w:szCs w:val="24"/>
        </w:rPr>
        <w:t xml:space="preserve">make members and contributors aware of some of the potential risks they should consider before making such a transfer, and </w:t>
      </w:r>
    </w:p>
    <w:p w14:paraId="7537473C" w14:textId="77777777" w:rsidR="007111F2" w:rsidRPr="006D0045" w:rsidRDefault="00323AFA" w:rsidP="00677299">
      <w:pPr>
        <w:pStyle w:val="ListParagraph"/>
        <w:numPr>
          <w:ilvl w:val="0"/>
          <w:numId w:val="11"/>
        </w:numPr>
        <w:spacing w:after="0" w:line="276" w:lineRule="auto"/>
        <w:jc w:val="left"/>
        <w:rPr>
          <w:sz w:val="24"/>
          <w:szCs w:val="24"/>
        </w:rPr>
      </w:pPr>
      <w:r w:rsidRPr="006D0045">
        <w:rPr>
          <w:sz w:val="24"/>
          <w:szCs w:val="24"/>
        </w:rPr>
        <w:t>outline for trustees and PRSA providers the circumstances in which a member or contributor is allo</w:t>
      </w:r>
      <w:r w:rsidR="00D263C4" w:rsidRPr="006D0045">
        <w:rPr>
          <w:sz w:val="24"/>
          <w:szCs w:val="24"/>
        </w:rPr>
        <w:t>wed to make such a transfer.</w:t>
      </w:r>
    </w:p>
    <w:p w14:paraId="64B4B045" w14:textId="77777777" w:rsidR="00D263C4" w:rsidRDefault="00D263C4" w:rsidP="00677299">
      <w:pPr>
        <w:spacing w:after="0" w:line="276" w:lineRule="auto"/>
        <w:jc w:val="left"/>
        <w:rPr>
          <w:sz w:val="24"/>
          <w:szCs w:val="24"/>
        </w:rPr>
      </w:pPr>
    </w:p>
    <w:p w14:paraId="02DB416E" w14:textId="77777777" w:rsidR="00D263C4" w:rsidRPr="00C55CF0" w:rsidRDefault="00D263C4" w:rsidP="00677299">
      <w:pPr>
        <w:pStyle w:val="Heading3"/>
        <w:jc w:val="left"/>
      </w:pPr>
      <w:r w:rsidRPr="00C55CF0">
        <w:t>For members/PRSA contributors</w:t>
      </w:r>
    </w:p>
    <w:p w14:paraId="63A42F94" w14:textId="77777777" w:rsidR="007111F2" w:rsidRPr="00C55CF0" w:rsidRDefault="00323AFA" w:rsidP="00677299">
      <w:pPr>
        <w:pStyle w:val="Heading4"/>
        <w:spacing w:before="0"/>
        <w:jc w:val="left"/>
      </w:pPr>
      <w:r w:rsidRPr="00C55CF0">
        <w:t xml:space="preserve">Considerations before transferring </w:t>
      </w:r>
    </w:p>
    <w:p w14:paraId="30971A8C" w14:textId="77777777" w:rsidR="007111F2" w:rsidRDefault="00323AFA" w:rsidP="00677299">
      <w:pPr>
        <w:spacing w:after="0" w:line="276" w:lineRule="auto"/>
        <w:ind w:left="-5" w:hanging="14"/>
        <w:jc w:val="left"/>
        <w:rPr>
          <w:sz w:val="24"/>
          <w:szCs w:val="24"/>
        </w:rPr>
      </w:pPr>
      <w:r w:rsidRPr="00D263C4">
        <w:rPr>
          <w:sz w:val="24"/>
          <w:szCs w:val="24"/>
        </w:rPr>
        <w:t xml:space="preserve">Transferring your pension savings to an arrangement in an overseas jurisdiction is not without potential risks. Some of the risks you should consider before making such a decision include: </w:t>
      </w:r>
    </w:p>
    <w:p w14:paraId="2FE2359E" w14:textId="77777777" w:rsidR="00DE1BC2" w:rsidRPr="00D263C4" w:rsidRDefault="00DE1BC2" w:rsidP="00677299">
      <w:pPr>
        <w:spacing w:after="0" w:line="276" w:lineRule="auto"/>
        <w:ind w:left="-5" w:hanging="14"/>
        <w:jc w:val="left"/>
        <w:rPr>
          <w:sz w:val="24"/>
          <w:szCs w:val="24"/>
        </w:rPr>
      </w:pPr>
    </w:p>
    <w:p w14:paraId="142FB030" w14:textId="77777777" w:rsidR="007111F2" w:rsidRPr="006D0045" w:rsidRDefault="00323AFA" w:rsidP="00677299">
      <w:pPr>
        <w:pStyle w:val="ListParagraph"/>
        <w:numPr>
          <w:ilvl w:val="0"/>
          <w:numId w:val="12"/>
        </w:numPr>
        <w:spacing w:after="0" w:line="276" w:lineRule="auto"/>
        <w:jc w:val="left"/>
        <w:rPr>
          <w:sz w:val="24"/>
          <w:szCs w:val="24"/>
        </w:rPr>
      </w:pPr>
      <w:r w:rsidRPr="006D0045">
        <w:rPr>
          <w:sz w:val="24"/>
          <w:szCs w:val="24"/>
        </w:rPr>
        <w:t>uncertainty of taxation consequences</w:t>
      </w:r>
      <w:r w:rsidR="00B04675" w:rsidRPr="006D0045">
        <w:rPr>
          <w:sz w:val="24"/>
          <w:szCs w:val="24"/>
        </w:rPr>
        <w:t>,</w:t>
      </w:r>
      <w:r w:rsidRPr="006D0045">
        <w:rPr>
          <w:sz w:val="24"/>
          <w:szCs w:val="24"/>
        </w:rPr>
        <w:t xml:space="preserve">  </w:t>
      </w:r>
    </w:p>
    <w:p w14:paraId="0486E759" w14:textId="77777777" w:rsidR="007111F2" w:rsidRPr="006D0045" w:rsidRDefault="00323AFA" w:rsidP="00677299">
      <w:pPr>
        <w:pStyle w:val="ListParagraph"/>
        <w:numPr>
          <w:ilvl w:val="0"/>
          <w:numId w:val="12"/>
        </w:numPr>
        <w:spacing w:after="0" w:line="276" w:lineRule="auto"/>
        <w:jc w:val="left"/>
        <w:rPr>
          <w:sz w:val="24"/>
          <w:szCs w:val="24"/>
        </w:rPr>
      </w:pPr>
      <w:r w:rsidRPr="006D0045">
        <w:rPr>
          <w:sz w:val="24"/>
          <w:szCs w:val="24"/>
        </w:rPr>
        <w:t>potentially higher and non-transparent costs</w:t>
      </w:r>
      <w:r w:rsidR="00B04675" w:rsidRPr="006D0045">
        <w:rPr>
          <w:sz w:val="24"/>
          <w:szCs w:val="24"/>
        </w:rPr>
        <w:t>,</w:t>
      </w:r>
      <w:r w:rsidRPr="006D0045">
        <w:rPr>
          <w:sz w:val="24"/>
          <w:szCs w:val="24"/>
        </w:rPr>
        <w:t xml:space="preserve"> </w:t>
      </w:r>
    </w:p>
    <w:p w14:paraId="466606DE" w14:textId="77777777" w:rsidR="007111F2" w:rsidRPr="006D0045" w:rsidRDefault="00323AFA" w:rsidP="00677299">
      <w:pPr>
        <w:pStyle w:val="ListParagraph"/>
        <w:numPr>
          <w:ilvl w:val="0"/>
          <w:numId w:val="12"/>
        </w:numPr>
        <w:spacing w:after="0" w:line="276" w:lineRule="auto"/>
        <w:jc w:val="left"/>
        <w:rPr>
          <w:sz w:val="24"/>
          <w:szCs w:val="24"/>
        </w:rPr>
      </w:pPr>
      <w:r w:rsidRPr="006D0045">
        <w:rPr>
          <w:sz w:val="24"/>
          <w:szCs w:val="24"/>
        </w:rPr>
        <w:t>dealing with unregulated intermediaries</w:t>
      </w:r>
      <w:r w:rsidR="00B04675" w:rsidRPr="006D0045">
        <w:rPr>
          <w:sz w:val="24"/>
          <w:szCs w:val="24"/>
        </w:rPr>
        <w:t>,</w:t>
      </w:r>
      <w:r w:rsidRPr="006D0045">
        <w:rPr>
          <w:sz w:val="24"/>
          <w:szCs w:val="24"/>
        </w:rPr>
        <w:t xml:space="preserve"> </w:t>
      </w:r>
    </w:p>
    <w:p w14:paraId="53223BB4" w14:textId="77777777" w:rsidR="00DE1BC2" w:rsidRPr="006D0045" w:rsidRDefault="00323AFA" w:rsidP="00677299">
      <w:pPr>
        <w:pStyle w:val="ListParagraph"/>
        <w:numPr>
          <w:ilvl w:val="0"/>
          <w:numId w:val="12"/>
        </w:numPr>
        <w:spacing w:after="0" w:line="276" w:lineRule="auto"/>
        <w:jc w:val="left"/>
        <w:rPr>
          <w:sz w:val="24"/>
          <w:szCs w:val="24"/>
        </w:rPr>
      </w:pPr>
      <w:r w:rsidRPr="006D0045">
        <w:rPr>
          <w:sz w:val="24"/>
          <w:szCs w:val="24"/>
        </w:rPr>
        <w:t>difficulty obtaining legal redress should it become necessary</w:t>
      </w:r>
      <w:r w:rsidR="00B04675" w:rsidRPr="006D0045">
        <w:rPr>
          <w:sz w:val="24"/>
          <w:szCs w:val="24"/>
        </w:rPr>
        <w:t>, and</w:t>
      </w:r>
      <w:r w:rsidRPr="006D0045">
        <w:rPr>
          <w:sz w:val="24"/>
          <w:szCs w:val="24"/>
        </w:rPr>
        <w:t xml:space="preserve"> </w:t>
      </w:r>
    </w:p>
    <w:p w14:paraId="6359460D" w14:textId="77777777" w:rsidR="007111F2" w:rsidRPr="006D0045" w:rsidRDefault="00323AFA" w:rsidP="00677299">
      <w:pPr>
        <w:pStyle w:val="ListParagraph"/>
        <w:numPr>
          <w:ilvl w:val="0"/>
          <w:numId w:val="12"/>
        </w:numPr>
        <w:spacing w:after="0" w:line="276" w:lineRule="auto"/>
        <w:jc w:val="left"/>
        <w:rPr>
          <w:sz w:val="24"/>
          <w:szCs w:val="24"/>
        </w:rPr>
      </w:pPr>
      <w:r w:rsidRPr="006D0045">
        <w:rPr>
          <w:sz w:val="24"/>
          <w:szCs w:val="24"/>
        </w:rPr>
        <w:t xml:space="preserve">no longer having the protection of Irish regulation. </w:t>
      </w:r>
    </w:p>
    <w:p w14:paraId="72E13C82" w14:textId="77777777" w:rsidR="00DE1BC2" w:rsidRDefault="00DE1BC2" w:rsidP="00677299">
      <w:pPr>
        <w:spacing w:after="0" w:line="276" w:lineRule="auto"/>
        <w:ind w:left="-5"/>
        <w:jc w:val="left"/>
        <w:rPr>
          <w:sz w:val="24"/>
          <w:szCs w:val="24"/>
        </w:rPr>
      </w:pPr>
    </w:p>
    <w:p w14:paraId="45DB349F" w14:textId="77777777" w:rsidR="007111F2" w:rsidRPr="00D263C4" w:rsidRDefault="00323AFA" w:rsidP="00677299">
      <w:pPr>
        <w:spacing w:after="0" w:line="276" w:lineRule="auto"/>
        <w:ind w:left="-5"/>
        <w:jc w:val="left"/>
        <w:rPr>
          <w:sz w:val="24"/>
          <w:szCs w:val="24"/>
        </w:rPr>
      </w:pPr>
      <w:r w:rsidRPr="00D263C4">
        <w:rPr>
          <w:sz w:val="24"/>
          <w:szCs w:val="24"/>
        </w:rPr>
        <w:t>It is important that you obtain independent financial advice before making any decision to transfer your pension savings overseas and that you are fully aware of the potential risks involved. You should also talk to your scheme trustees or PRSA provider.</w:t>
      </w:r>
      <w:r w:rsidRPr="00D263C4">
        <w:rPr>
          <w:color w:val="FF0000"/>
          <w:sz w:val="24"/>
          <w:szCs w:val="24"/>
        </w:rPr>
        <w:t xml:space="preserve"> </w:t>
      </w:r>
    </w:p>
    <w:p w14:paraId="057E9919" w14:textId="77777777" w:rsidR="00DE1BC2" w:rsidRDefault="00DE1BC2" w:rsidP="00677299">
      <w:pPr>
        <w:spacing w:after="0" w:line="276" w:lineRule="auto"/>
        <w:ind w:left="0" w:firstLine="0"/>
        <w:jc w:val="left"/>
        <w:rPr>
          <w:rFonts w:eastAsia="Calibri"/>
          <w:sz w:val="24"/>
          <w:szCs w:val="24"/>
        </w:rPr>
      </w:pPr>
    </w:p>
    <w:p w14:paraId="64C405AF" w14:textId="77777777" w:rsidR="00DE1BC2" w:rsidRPr="00C55CF0" w:rsidRDefault="00DE1BC2" w:rsidP="00677299">
      <w:pPr>
        <w:pStyle w:val="Heading3"/>
        <w:jc w:val="left"/>
      </w:pPr>
      <w:r w:rsidRPr="00C55CF0">
        <w:t>For trustees/PRSA providers</w:t>
      </w:r>
    </w:p>
    <w:p w14:paraId="5723B7E2" w14:textId="77777777" w:rsidR="007111F2" w:rsidRPr="00C55CF0" w:rsidRDefault="00323AFA" w:rsidP="00677299">
      <w:pPr>
        <w:pStyle w:val="Heading4"/>
        <w:spacing w:before="0"/>
        <w:jc w:val="left"/>
      </w:pPr>
      <w:r w:rsidRPr="00C55CF0">
        <w:t xml:space="preserve">Conditions for transfer to arrangements established outside the State </w:t>
      </w:r>
    </w:p>
    <w:p w14:paraId="3F13FB38" w14:textId="0A9F604C" w:rsidR="004F41DC" w:rsidRDefault="00C55CF0" w:rsidP="00677299">
      <w:pPr>
        <w:spacing w:after="0" w:line="276" w:lineRule="auto"/>
        <w:ind w:left="-5"/>
        <w:jc w:val="left"/>
        <w:rPr>
          <w:sz w:val="24"/>
          <w:szCs w:val="24"/>
        </w:rPr>
        <w:sectPr w:rsidR="004F41DC" w:rsidSect="000D27A2">
          <w:footerReference w:type="default" r:id="rId10"/>
          <w:type w:val="continuous"/>
          <w:pgSz w:w="11906" w:h="16838"/>
          <w:pgMar w:top="1440" w:right="1440" w:bottom="1440" w:left="1440" w:header="720" w:footer="720" w:gutter="0"/>
          <w:cols w:space="720"/>
          <w:docGrid w:linePitch="299"/>
        </w:sectPr>
      </w:pPr>
      <w:r>
        <w:rPr>
          <w:sz w:val="24"/>
          <w:szCs w:val="24"/>
        </w:rPr>
        <w:t>Section 34 of the Pensions Act</w:t>
      </w:r>
      <w:r w:rsidR="00323AFA" w:rsidRPr="00D263C4">
        <w:rPr>
          <w:sz w:val="24"/>
          <w:szCs w:val="24"/>
        </w:rPr>
        <w:t xml:space="preserve"> 1990</w:t>
      </w:r>
      <w:r w:rsidR="0072181C">
        <w:rPr>
          <w:sz w:val="24"/>
          <w:szCs w:val="24"/>
        </w:rPr>
        <w:t>,</w:t>
      </w:r>
      <w:r w:rsidR="00323AFA" w:rsidRPr="00D263C4">
        <w:rPr>
          <w:sz w:val="24"/>
          <w:szCs w:val="24"/>
        </w:rPr>
        <w:t xml:space="preserve"> as amended (the Act)</w:t>
      </w:r>
      <w:r w:rsidR="006930DD">
        <w:rPr>
          <w:sz w:val="24"/>
          <w:szCs w:val="24"/>
        </w:rPr>
        <w:t>,</w:t>
      </w:r>
      <w:r w:rsidR="00323AFA" w:rsidRPr="00D263C4">
        <w:rPr>
          <w:sz w:val="24"/>
          <w:szCs w:val="24"/>
        </w:rPr>
        <w:t xml:space="preserve"> deals with entitlement to a transfer payment, applying to a member of a funded scheme who is entitled to a preserved benefit. Section 124(2) of the Act deals with transfers of benefits from PRSAs.  </w:t>
      </w:r>
    </w:p>
    <w:p w14:paraId="7C996FBA" w14:textId="77777777" w:rsidR="007111F2" w:rsidRDefault="007111F2" w:rsidP="00677299">
      <w:pPr>
        <w:spacing w:after="0" w:line="276" w:lineRule="auto"/>
        <w:ind w:left="-5"/>
        <w:jc w:val="left"/>
        <w:rPr>
          <w:sz w:val="24"/>
          <w:szCs w:val="24"/>
        </w:rPr>
      </w:pPr>
    </w:p>
    <w:p w14:paraId="2560315A" w14:textId="7D1598E2" w:rsidR="004F41DC" w:rsidRDefault="00323AFA" w:rsidP="00677299">
      <w:pPr>
        <w:spacing w:after="0" w:line="276" w:lineRule="auto"/>
        <w:ind w:left="-5"/>
        <w:jc w:val="left"/>
        <w:rPr>
          <w:i/>
          <w:sz w:val="24"/>
          <w:szCs w:val="24"/>
        </w:rPr>
        <w:sectPr w:rsidR="004F41DC" w:rsidSect="004F41DC">
          <w:footerReference w:type="default" r:id="rId11"/>
          <w:type w:val="continuous"/>
          <w:pgSz w:w="11906" w:h="16838"/>
          <w:pgMar w:top="1440" w:right="1440" w:bottom="1440" w:left="1440" w:header="720" w:footer="720" w:gutter="0"/>
          <w:cols w:space="720"/>
          <w:docGrid w:linePitch="299"/>
        </w:sectPr>
      </w:pPr>
      <w:r w:rsidRPr="00D263C4">
        <w:rPr>
          <w:sz w:val="24"/>
          <w:szCs w:val="24"/>
        </w:rPr>
        <w:t>The Occupational Pension Schemes and P</w:t>
      </w:r>
      <w:r w:rsidR="000A0AF8">
        <w:rPr>
          <w:sz w:val="24"/>
          <w:szCs w:val="24"/>
        </w:rPr>
        <w:t xml:space="preserve">ersonal </w:t>
      </w:r>
      <w:r w:rsidRPr="00D263C4">
        <w:rPr>
          <w:sz w:val="24"/>
          <w:szCs w:val="24"/>
        </w:rPr>
        <w:t>R</w:t>
      </w:r>
      <w:r w:rsidR="000A0AF8">
        <w:rPr>
          <w:sz w:val="24"/>
          <w:szCs w:val="24"/>
        </w:rPr>
        <w:t xml:space="preserve">etirement </w:t>
      </w:r>
      <w:r w:rsidRPr="00D263C4">
        <w:rPr>
          <w:sz w:val="24"/>
          <w:szCs w:val="24"/>
        </w:rPr>
        <w:t>S</w:t>
      </w:r>
      <w:r w:rsidR="000A0AF8">
        <w:rPr>
          <w:sz w:val="24"/>
          <w:szCs w:val="24"/>
        </w:rPr>
        <w:t xml:space="preserve">avings </w:t>
      </w:r>
      <w:r w:rsidRPr="00D263C4">
        <w:rPr>
          <w:sz w:val="24"/>
          <w:szCs w:val="24"/>
        </w:rPr>
        <w:t>A</w:t>
      </w:r>
      <w:r w:rsidR="000A0AF8">
        <w:rPr>
          <w:sz w:val="24"/>
          <w:szCs w:val="24"/>
        </w:rPr>
        <w:t>ccounts</w:t>
      </w:r>
      <w:r w:rsidRPr="00D263C4">
        <w:rPr>
          <w:sz w:val="24"/>
          <w:szCs w:val="24"/>
        </w:rPr>
        <w:t xml:space="preserve"> (Overseas</w:t>
      </w:r>
      <w:r w:rsidR="00C55CF0">
        <w:rPr>
          <w:sz w:val="24"/>
          <w:szCs w:val="24"/>
        </w:rPr>
        <w:t xml:space="preserve"> Transfer Payments) Regulations</w:t>
      </w:r>
      <w:r w:rsidR="006930DD">
        <w:rPr>
          <w:sz w:val="24"/>
          <w:szCs w:val="24"/>
        </w:rPr>
        <w:t>,</w:t>
      </w:r>
      <w:r w:rsidRPr="00D263C4">
        <w:rPr>
          <w:sz w:val="24"/>
          <w:szCs w:val="24"/>
        </w:rPr>
        <w:t xml:space="preserve"> 2003 (the Regulations)</w:t>
      </w:r>
      <w:r w:rsidR="006930DD">
        <w:rPr>
          <w:sz w:val="24"/>
          <w:szCs w:val="24"/>
        </w:rPr>
        <w:t>,</w:t>
      </w:r>
      <w:r w:rsidRPr="00D263C4">
        <w:rPr>
          <w:sz w:val="24"/>
          <w:szCs w:val="24"/>
        </w:rPr>
        <w:t xml:space="preserve"> prescribe the conditions for transfers to arrangements established outside the State. These are that:</w:t>
      </w:r>
      <w:r w:rsidRPr="00D263C4">
        <w:rPr>
          <w:i/>
          <w:sz w:val="24"/>
          <w:szCs w:val="24"/>
        </w:rPr>
        <w:t xml:space="preserve">  </w:t>
      </w:r>
    </w:p>
    <w:p w14:paraId="76520A0E" w14:textId="77777777" w:rsidR="00DE1BC2" w:rsidRPr="00D263C4" w:rsidRDefault="00DE1BC2" w:rsidP="00677299">
      <w:pPr>
        <w:spacing w:after="0" w:line="276" w:lineRule="auto"/>
        <w:ind w:left="0" w:firstLine="0"/>
        <w:jc w:val="left"/>
        <w:rPr>
          <w:sz w:val="24"/>
          <w:szCs w:val="24"/>
        </w:rPr>
      </w:pPr>
    </w:p>
    <w:p w14:paraId="4458BC6A" w14:textId="1FD7CD2C" w:rsidR="007111F2" w:rsidRPr="006D0045" w:rsidRDefault="00323AFA" w:rsidP="00677299">
      <w:pPr>
        <w:pStyle w:val="ListParagraph"/>
        <w:numPr>
          <w:ilvl w:val="0"/>
          <w:numId w:val="13"/>
        </w:numPr>
        <w:spacing w:after="0" w:line="276" w:lineRule="auto"/>
        <w:jc w:val="left"/>
        <w:rPr>
          <w:sz w:val="24"/>
          <w:szCs w:val="24"/>
        </w:rPr>
      </w:pPr>
      <w:r w:rsidRPr="006D0045">
        <w:rPr>
          <w:sz w:val="24"/>
          <w:szCs w:val="24"/>
        </w:rPr>
        <w:t xml:space="preserve">the trustees or PRSA provider have satisfied themselves that the retirement benefits to be provided under the overseas arrangement are </w:t>
      </w:r>
      <w:r w:rsidRPr="008B19D9">
        <w:rPr>
          <w:iCs/>
          <w:sz w:val="24"/>
          <w:szCs w:val="24"/>
        </w:rPr>
        <w:t>relevant benefits</w:t>
      </w:r>
      <w:r w:rsidRPr="006D0045">
        <w:rPr>
          <w:sz w:val="24"/>
          <w:szCs w:val="24"/>
        </w:rPr>
        <w:t xml:space="preserve"> (within the meaning of </w:t>
      </w:r>
      <w:r w:rsidR="000A0AF8" w:rsidRPr="006D0045">
        <w:rPr>
          <w:sz w:val="24"/>
          <w:szCs w:val="24"/>
        </w:rPr>
        <w:t>s</w:t>
      </w:r>
      <w:r w:rsidRPr="006D0045">
        <w:rPr>
          <w:sz w:val="24"/>
          <w:szCs w:val="24"/>
        </w:rPr>
        <w:t xml:space="preserve">ection 770(1) of the Taxes Consolidation Act 1997) by </w:t>
      </w:r>
      <w:r w:rsidRPr="006D0045">
        <w:rPr>
          <w:sz w:val="24"/>
          <w:szCs w:val="24"/>
        </w:rPr>
        <w:lastRenderedPageBreak/>
        <w:t xml:space="preserve">obtaining written confirmation to that effect from the trustees, custodians, managers or administrators of an overseas arrangement to which the transfer is to be made, and </w:t>
      </w:r>
    </w:p>
    <w:p w14:paraId="1B40F5C4" w14:textId="77777777" w:rsidR="007111F2" w:rsidRPr="00D263C4" w:rsidRDefault="007111F2" w:rsidP="00677299">
      <w:pPr>
        <w:spacing w:after="0" w:line="276" w:lineRule="auto"/>
        <w:ind w:left="0" w:firstLine="0"/>
        <w:jc w:val="left"/>
        <w:rPr>
          <w:sz w:val="24"/>
          <w:szCs w:val="24"/>
        </w:rPr>
      </w:pPr>
    </w:p>
    <w:p w14:paraId="26213014" w14:textId="77777777" w:rsidR="007111F2" w:rsidRPr="006D0045" w:rsidRDefault="00323AFA" w:rsidP="00677299">
      <w:pPr>
        <w:pStyle w:val="ListParagraph"/>
        <w:numPr>
          <w:ilvl w:val="0"/>
          <w:numId w:val="13"/>
        </w:numPr>
        <w:spacing w:after="0" w:line="276" w:lineRule="auto"/>
        <w:jc w:val="left"/>
        <w:rPr>
          <w:sz w:val="24"/>
          <w:szCs w:val="24"/>
        </w:rPr>
      </w:pPr>
      <w:r w:rsidRPr="006D0045">
        <w:rPr>
          <w:sz w:val="24"/>
          <w:szCs w:val="24"/>
        </w:rPr>
        <w:t xml:space="preserve">the trustees or PRSA provider have satisfied themselves that the overseas arrangement has been approved by an appropriate regulatory authority for the country concerned. </w:t>
      </w:r>
    </w:p>
    <w:p w14:paraId="623E3ADE" w14:textId="77777777" w:rsidR="007111F2" w:rsidRPr="00D263C4" w:rsidRDefault="00323AFA" w:rsidP="00677299">
      <w:pPr>
        <w:spacing w:after="0" w:line="276" w:lineRule="auto"/>
        <w:ind w:left="0" w:firstLine="0"/>
        <w:jc w:val="left"/>
        <w:rPr>
          <w:sz w:val="24"/>
          <w:szCs w:val="24"/>
        </w:rPr>
      </w:pPr>
      <w:r w:rsidRPr="00D263C4">
        <w:rPr>
          <w:rFonts w:eastAsia="Calibri"/>
          <w:sz w:val="24"/>
          <w:szCs w:val="24"/>
        </w:rPr>
        <w:t xml:space="preserve"> </w:t>
      </w:r>
    </w:p>
    <w:p w14:paraId="08653B0E" w14:textId="77777777" w:rsidR="007111F2" w:rsidRPr="00C55CF0" w:rsidRDefault="00323AFA" w:rsidP="00677299">
      <w:pPr>
        <w:pStyle w:val="Heading3"/>
        <w:jc w:val="left"/>
      </w:pPr>
      <w:r w:rsidRPr="00C55CF0">
        <w:t xml:space="preserve">Revenue requirements </w:t>
      </w:r>
    </w:p>
    <w:p w14:paraId="2E974AD9" w14:textId="77777777" w:rsidR="00DE1BC2" w:rsidRPr="00DE1BC2" w:rsidRDefault="00DE1BC2" w:rsidP="00677299">
      <w:pPr>
        <w:spacing w:after="0" w:line="276" w:lineRule="auto"/>
        <w:jc w:val="left"/>
      </w:pPr>
    </w:p>
    <w:p w14:paraId="7D1F3A99" w14:textId="77777777" w:rsidR="007111F2" w:rsidRDefault="00323AFA" w:rsidP="00677299">
      <w:pPr>
        <w:spacing w:after="0" w:line="276" w:lineRule="auto"/>
        <w:ind w:left="-5"/>
        <w:jc w:val="left"/>
        <w:rPr>
          <w:sz w:val="24"/>
          <w:szCs w:val="24"/>
        </w:rPr>
      </w:pPr>
      <w:r w:rsidRPr="00D263C4">
        <w:rPr>
          <w:sz w:val="24"/>
          <w:szCs w:val="24"/>
        </w:rPr>
        <w:t xml:space="preserve">Prior to making any overseas transfer payments, the trustees or PRSA provider must be satisfied that: </w:t>
      </w:r>
    </w:p>
    <w:p w14:paraId="321802A2" w14:textId="77777777" w:rsidR="00DE1BC2" w:rsidRPr="00D263C4" w:rsidRDefault="00DE1BC2" w:rsidP="00677299">
      <w:pPr>
        <w:spacing w:after="0" w:line="276" w:lineRule="auto"/>
        <w:ind w:left="-5"/>
        <w:jc w:val="left"/>
        <w:rPr>
          <w:sz w:val="24"/>
          <w:szCs w:val="24"/>
        </w:rPr>
      </w:pPr>
    </w:p>
    <w:p w14:paraId="5E29CEDA" w14:textId="77777777" w:rsidR="007111F2" w:rsidRPr="006D0045" w:rsidRDefault="00323AFA" w:rsidP="00677299">
      <w:pPr>
        <w:pStyle w:val="ListParagraph"/>
        <w:numPr>
          <w:ilvl w:val="0"/>
          <w:numId w:val="15"/>
        </w:numPr>
        <w:spacing w:after="0" w:line="276" w:lineRule="auto"/>
        <w:jc w:val="left"/>
        <w:rPr>
          <w:sz w:val="24"/>
          <w:szCs w:val="24"/>
        </w:rPr>
      </w:pPr>
      <w:r w:rsidRPr="006D0045">
        <w:rPr>
          <w:sz w:val="24"/>
          <w:szCs w:val="24"/>
        </w:rPr>
        <w:t>the scheme member or PRSA contributor has requested a transfer</w:t>
      </w:r>
      <w:r w:rsidR="00D43A51" w:rsidRPr="006D0045">
        <w:rPr>
          <w:sz w:val="24"/>
          <w:szCs w:val="24"/>
        </w:rPr>
        <w:t>,</w:t>
      </w:r>
      <w:r w:rsidRPr="006D0045">
        <w:rPr>
          <w:sz w:val="24"/>
          <w:szCs w:val="24"/>
        </w:rPr>
        <w:t xml:space="preserve"> </w:t>
      </w:r>
    </w:p>
    <w:p w14:paraId="04F15E69" w14:textId="77777777" w:rsidR="007111F2" w:rsidRPr="006D0045" w:rsidRDefault="00323AFA" w:rsidP="00677299">
      <w:pPr>
        <w:pStyle w:val="ListParagraph"/>
        <w:numPr>
          <w:ilvl w:val="0"/>
          <w:numId w:val="15"/>
        </w:numPr>
        <w:spacing w:after="0" w:line="276" w:lineRule="auto"/>
        <w:jc w:val="left"/>
        <w:rPr>
          <w:sz w:val="24"/>
          <w:szCs w:val="24"/>
        </w:rPr>
      </w:pPr>
      <w:r w:rsidRPr="006D0045">
        <w:rPr>
          <w:sz w:val="24"/>
          <w:szCs w:val="24"/>
        </w:rPr>
        <w:t xml:space="preserve">the overseas arrangement provides </w:t>
      </w:r>
      <w:r w:rsidRPr="008B19D9">
        <w:rPr>
          <w:iCs/>
          <w:sz w:val="24"/>
          <w:szCs w:val="24"/>
        </w:rPr>
        <w:t>relevant benefits</w:t>
      </w:r>
      <w:r w:rsidRPr="006D0045">
        <w:rPr>
          <w:sz w:val="24"/>
          <w:szCs w:val="24"/>
        </w:rPr>
        <w:t xml:space="preserve"> (as defined)</w:t>
      </w:r>
      <w:r w:rsidR="00D43A51" w:rsidRPr="006D0045">
        <w:rPr>
          <w:sz w:val="24"/>
          <w:szCs w:val="24"/>
        </w:rPr>
        <w:t>,</w:t>
      </w:r>
      <w:r w:rsidRPr="006D0045">
        <w:rPr>
          <w:sz w:val="24"/>
          <w:szCs w:val="24"/>
        </w:rPr>
        <w:t xml:space="preserve"> and </w:t>
      </w:r>
    </w:p>
    <w:p w14:paraId="3ABF941F" w14:textId="77777777" w:rsidR="007111F2" w:rsidRPr="006D0045" w:rsidRDefault="00323AFA" w:rsidP="00677299">
      <w:pPr>
        <w:pStyle w:val="ListParagraph"/>
        <w:numPr>
          <w:ilvl w:val="0"/>
          <w:numId w:val="15"/>
        </w:numPr>
        <w:spacing w:after="0" w:line="276" w:lineRule="auto"/>
        <w:jc w:val="left"/>
        <w:rPr>
          <w:sz w:val="24"/>
          <w:szCs w:val="24"/>
        </w:rPr>
      </w:pPr>
      <w:r w:rsidRPr="006D0045">
        <w:rPr>
          <w:sz w:val="24"/>
          <w:szCs w:val="24"/>
        </w:rPr>
        <w:t xml:space="preserve">the overseas arrangement has been approved by the appropriate regulatory authority in the country concerned.  </w:t>
      </w:r>
    </w:p>
    <w:p w14:paraId="62A24905" w14:textId="77777777" w:rsidR="00DE1BC2" w:rsidRDefault="00DE1BC2" w:rsidP="00677299">
      <w:pPr>
        <w:spacing w:after="0" w:line="276" w:lineRule="auto"/>
        <w:ind w:left="-5"/>
        <w:jc w:val="left"/>
        <w:rPr>
          <w:sz w:val="24"/>
          <w:szCs w:val="24"/>
        </w:rPr>
      </w:pPr>
    </w:p>
    <w:p w14:paraId="06D823E7" w14:textId="77777777" w:rsidR="007111F2" w:rsidRDefault="00323AFA" w:rsidP="00677299">
      <w:pPr>
        <w:spacing w:after="0" w:line="276" w:lineRule="auto"/>
        <w:ind w:left="-5"/>
        <w:jc w:val="left"/>
        <w:rPr>
          <w:sz w:val="24"/>
          <w:szCs w:val="24"/>
        </w:rPr>
      </w:pPr>
      <w:r w:rsidRPr="00D263C4">
        <w:rPr>
          <w:sz w:val="24"/>
          <w:szCs w:val="24"/>
        </w:rPr>
        <w:t xml:space="preserve">To comply with (b) and (c) above, the trustees should obtain written confirmation from the administrator of the overseas arrangement concerned.  </w:t>
      </w:r>
    </w:p>
    <w:p w14:paraId="2CE61BA7" w14:textId="77777777" w:rsidR="00DC75D8" w:rsidRPr="00D263C4" w:rsidRDefault="00DC75D8" w:rsidP="00677299">
      <w:pPr>
        <w:spacing w:after="0" w:line="276" w:lineRule="auto"/>
        <w:ind w:left="-5"/>
        <w:jc w:val="left"/>
        <w:rPr>
          <w:sz w:val="24"/>
          <w:szCs w:val="24"/>
        </w:rPr>
      </w:pPr>
    </w:p>
    <w:p w14:paraId="12BF9B21" w14:textId="16EEBCE9" w:rsidR="007111F2" w:rsidRDefault="00323AFA" w:rsidP="00677299">
      <w:pPr>
        <w:spacing w:after="0" w:line="276" w:lineRule="auto"/>
        <w:ind w:left="-5"/>
        <w:jc w:val="left"/>
        <w:rPr>
          <w:sz w:val="24"/>
          <w:szCs w:val="24"/>
        </w:rPr>
      </w:pPr>
      <w:r w:rsidRPr="00D263C4">
        <w:rPr>
          <w:sz w:val="24"/>
          <w:szCs w:val="24"/>
        </w:rPr>
        <w:t>If the transfer is to another E</w:t>
      </w:r>
      <w:r w:rsidR="0026607F">
        <w:rPr>
          <w:sz w:val="24"/>
          <w:szCs w:val="24"/>
        </w:rPr>
        <w:t>uropean</w:t>
      </w:r>
      <w:r w:rsidRPr="00D263C4">
        <w:rPr>
          <w:sz w:val="24"/>
          <w:szCs w:val="24"/>
        </w:rPr>
        <w:t xml:space="preserve"> </w:t>
      </w:r>
      <w:r w:rsidR="005C78AC">
        <w:rPr>
          <w:sz w:val="24"/>
          <w:szCs w:val="24"/>
        </w:rPr>
        <w:t xml:space="preserve">Union (EU) </w:t>
      </w:r>
      <w:r w:rsidRPr="00D263C4">
        <w:rPr>
          <w:sz w:val="24"/>
          <w:szCs w:val="24"/>
        </w:rPr>
        <w:t xml:space="preserve">Member State, the overseas scheme must be operated or managed by an </w:t>
      </w:r>
      <w:r w:rsidR="00BB27E7">
        <w:rPr>
          <w:sz w:val="24"/>
          <w:szCs w:val="24"/>
        </w:rPr>
        <w:t>i</w:t>
      </w:r>
      <w:r w:rsidRPr="00D263C4">
        <w:rPr>
          <w:sz w:val="24"/>
          <w:szCs w:val="24"/>
        </w:rPr>
        <w:t xml:space="preserve">nstitution for </w:t>
      </w:r>
      <w:r w:rsidR="00BB27E7">
        <w:rPr>
          <w:sz w:val="24"/>
          <w:szCs w:val="24"/>
        </w:rPr>
        <w:t>o</w:t>
      </w:r>
      <w:r w:rsidRPr="00D263C4">
        <w:rPr>
          <w:sz w:val="24"/>
          <w:szCs w:val="24"/>
        </w:rPr>
        <w:t xml:space="preserve">ccupational </w:t>
      </w:r>
      <w:r w:rsidR="00BB27E7">
        <w:rPr>
          <w:sz w:val="24"/>
          <w:szCs w:val="24"/>
        </w:rPr>
        <w:t>r</w:t>
      </w:r>
      <w:r w:rsidRPr="00D263C4">
        <w:rPr>
          <w:sz w:val="24"/>
          <w:szCs w:val="24"/>
        </w:rPr>
        <w:t xml:space="preserve">etirement </w:t>
      </w:r>
      <w:r w:rsidR="00BB27E7">
        <w:rPr>
          <w:sz w:val="24"/>
          <w:szCs w:val="24"/>
        </w:rPr>
        <w:t>p</w:t>
      </w:r>
      <w:r w:rsidRPr="00D263C4">
        <w:rPr>
          <w:sz w:val="24"/>
          <w:szCs w:val="24"/>
        </w:rPr>
        <w:t>rovision (IORP), within the meaning of the E</w:t>
      </w:r>
      <w:r w:rsidR="005C78AC">
        <w:rPr>
          <w:sz w:val="24"/>
          <w:szCs w:val="24"/>
        </w:rPr>
        <w:t xml:space="preserve">U </w:t>
      </w:r>
      <w:r w:rsidR="00A52613">
        <w:rPr>
          <w:sz w:val="24"/>
          <w:szCs w:val="24"/>
        </w:rPr>
        <w:t>p</w:t>
      </w:r>
      <w:r w:rsidRPr="00D263C4">
        <w:rPr>
          <w:sz w:val="24"/>
          <w:szCs w:val="24"/>
        </w:rPr>
        <w:t>ensions Directive, and must be established in a</w:t>
      </w:r>
      <w:r w:rsidR="00BC3C5B">
        <w:rPr>
          <w:sz w:val="24"/>
          <w:szCs w:val="24"/>
        </w:rPr>
        <w:t xml:space="preserve"> </w:t>
      </w:r>
      <w:r w:rsidRPr="00D263C4">
        <w:rPr>
          <w:sz w:val="24"/>
          <w:szCs w:val="24"/>
        </w:rPr>
        <w:t>Member State which has implemented the</w:t>
      </w:r>
      <w:r w:rsidR="009A1407">
        <w:rPr>
          <w:sz w:val="24"/>
          <w:szCs w:val="24"/>
        </w:rPr>
        <w:t xml:space="preserve"> EU </w:t>
      </w:r>
      <w:r w:rsidR="00A52613">
        <w:rPr>
          <w:sz w:val="24"/>
          <w:szCs w:val="24"/>
        </w:rPr>
        <w:t>p</w:t>
      </w:r>
      <w:r w:rsidR="009A1407">
        <w:rPr>
          <w:sz w:val="24"/>
          <w:szCs w:val="24"/>
        </w:rPr>
        <w:t>ensions</w:t>
      </w:r>
      <w:r w:rsidRPr="00D263C4">
        <w:rPr>
          <w:sz w:val="24"/>
          <w:szCs w:val="24"/>
        </w:rPr>
        <w:t xml:space="preserve"> Directive in its national law. The scheme administrator must </w:t>
      </w:r>
      <w:r w:rsidR="00BC3C5B">
        <w:rPr>
          <w:sz w:val="24"/>
          <w:szCs w:val="24"/>
        </w:rPr>
        <w:t xml:space="preserve">also </w:t>
      </w:r>
      <w:r w:rsidRPr="00D263C4">
        <w:rPr>
          <w:sz w:val="24"/>
          <w:szCs w:val="24"/>
        </w:rPr>
        <w:t>be resident in a</w:t>
      </w:r>
      <w:r w:rsidR="00BC3C5B">
        <w:rPr>
          <w:sz w:val="24"/>
          <w:szCs w:val="24"/>
        </w:rPr>
        <w:t xml:space="preserve"> </w:t>
      </w:r>
      <w:r w:rsidRPr="00D263C4">
        <w:rPr>
          <w:sz w:val="24"/>
          <w:szCs w:val="24"/>
        </w:rPr>
        <w:t xml:space="preserve">Member State.  </w:t>
      </w:r>
    </w:p>
    <w:p w14:paraId="5BAF0313" w14:textId="77777777" w:rsidR="00DC75D8" w:rsidRPr="00D263C4" w:rsidRDefault="00DC75D8" w:rsidP="00677299">
      <w:pPr>
        <w:spacing w:after="0" w:line="276" w:lineRule="auto"/>
        <w:ind w:left="-5"/>
        <w:jc w:val="left"/>
        <w:rPr>
          <w:sz w:val="24"/>
          <w:szCs w:val="24"/>
        </w:rPr>
      </w:pPr>
    </w:p>
    <w:p w14:paraId="6415D1AF" w14:textId="3F50D86C" w:rsidR="007111F2" w:rsidRDefault="00323AFA" w:rsidP="00677299">
      <w:pPr>
        <w:spacing w:after="0" w:line="276" w:lineRule="auto"/>
        <w:ind w:left="-5"/>
        <w:jc w:val="left"/>
        <w:rPr>
          <w:sz w:val="24"/>
          <w:szCs w:val="24"/>
        </w:rPr>
      </w:pPr>
      <w:r w:rsidRPr="00D263C4">
        <w:rPr>
          <w:sz w:val="24"/>
          <w:szCs w:val="24"/>
        </w:rPr>
        <w:t>If the transfer is to a country outside E</w:t>
      </w:r>
      <w:r w:rsidR="00BC3C5B">
        <w:rPr>
          <w:sz w:val="24"/>
          <w:szCs w:val="24"/>
        </w:rPr>
        <w:t>urope</w:t>
      </w:r>
      <w:r w:rsidRPr="00D263C4">
        <w:rPr>
          <w:sz w:val="24"/>
          <w:szCs w:val="24"/>
        </w:rPr>
        <w:t xml:space="preserve">, a transfer </w:t>
      </w:r>
      <w:r w:rsidR="000E161F">
        <w:rPr>
          <w:sz w:val="24"/>
          <w:szCs w:val="24"/>
        </w:rPr>
        <w:t>is not permitted</w:t>
      </w:r>
      <w:r w:rsidRPr="00D263C4">
        <w:rPr>
          <w:sz w:val="24"/>
          <w:szCs w:val="24"/>
        </w:rPr>
        <w:t xml:space="preserve"> to a country other than the one in which the member is currently employed. </w:t>
      </w:r>
    </w:p>
    <w:p w14:paraId="341A01FD" w14:textId="77777777" w:rsidR="00DC75D8" w:rsidRPr="00D263C4" w:rsidRDefault="00DC75D8" w:rsidP="00677299">
      <w:pPr>
        <w:spacing w:after="0" w:line="276" w:lineRule="auto"/>
        <w:ind w:left="-5"/>
        <w:jc w:val="left"/>
        <w:rPr>
          <w:sz w:val="24"/>
          <w:szCs w:val="24"/>
        </w:rPr>
      </w:pPr>
    </w:p>
    <w:p w14:paraId="64CB1176" w14:textId="1B8B6B59" w:rsidR="007111F2" w:rsidRDefault="00323AFA" w:rsidP="00677299">
      <w:pPr>
        <w:spacing w:after="0" w:line="276" w:lineRule="auto"/>
        <w:ind w:left="-5"/>
        <w:jc w:val="left"/>
        <w:rPr>
          <w:sz w:val="24"/>
          <w:szCs w:val="24"/>
        </w:rPr>
      </w:pPr>
      <w:r w:rsidRPr="00D263C4">
        <w:rPr>
          <w:sz w:val="24"/>
          <w:szCs w:val="24"/>
        </w:rPr>
        <w:t xml:space="preserve">All transfer payments to an arrangement for the provision of retirement benefits outside the State made from an approved occupational pension scheme or PRSA under the provisions of the Regulations may be made to facilitate bona fide transactions only. </w:t>
      </w:r>
    </w:p>
    <w:p w14:paraId="5D69D1CE" w14:textId="77777777" w:rsidR="003B07E5" w:rsidRDefault="003B07E5" w:rsidP="00677299">
      <w:pPr>
        <w:spacing w:after="0" w:line="276" w:lineRule="auto"/>
        <w:ind w:left="-5"/>
        <w:jc w:val="left"/>
        <w:rPr>
          <w:sz w:val="24"/>
          <w:szCs w:val="24"/>
        </w:rPr>
      </w:pPr>
    </w:p>
    <w:p w14:paraId="3FA2A1EE" w14:textId="77777777" w:rsidR="000E161F" w:rsidRDefault="00323AFA" w:rsidP="00677299">
      <w:pPr>
        <w:spacing w:after="0" w:line="276" w:lineRule="auto"/>
        <w:ind w:left="-5"/>
        <w:jc w:val="left"/>
        <w:rPr>
          <w:sz w:val="24"/>
          <w:szCs w:val="24"/>
        </w:rPr>
      </w:pPr>
      <w:r w:rsidRPr="00D263C4">
        <w:rPr>
          <w:sz w:val="24"/>
          <w:szCs w:val="24"/>
        </w:rPr>
        <w:t>A member of an occupational pension scheme or a PRSA contributor who directs the trustees/PRSA provider to transfer assets to an overseas arrangement shall, before the transfer, sign a declaration to the effect that</w:t>
      </w:r>
      <w:r w:rsidR="000E161F">
        <w:rPr>
          <w:sz w:val="24"/>
          <w:szCs w:val="24"/>
        </w:rPr>
        <w:t>:</w:t>
      </w:r>
      <w:r w:rsidRPr="00D263C4">
        <w:rPr>
          <w:sz w:val="24"/>
          <w:szCs w:val="24"/>
        </w:rPr>
        <w:t xml:space="preserve"> </w:t>
      </w:r>
    </w:p>
    <w:p w14:paraId="5D2AF5FC" w14:textId="77777777" w:rsidR="000E161F" w:rsidRPr="006930DD" w:rsidRDefault="000E161F" w:rsidP="00677299">
      <w:pPr>
        <w:spacing w:after="0" w:line="276" w:lineRule="auto"/>
        <w:ind w:left="-5"/>
        <w:jc w:val="left"/>
        <w:rPr>
          <w:sz w:val="12"/>
          <w:szCs w:val="12"/>
        </w:rPr>
      </w:pPr>
    </w:p>
    <w:p w14:paraId="542BAC2C" w14:textId="77777777" w:rsidR="000E161F" w:rsidRPr="006D0045" w:rsidRDefault="00323AFA" w:rsidP="00677299">
      <w:pPr>
        <w:pStyle w:val="ListParagraph"/>
        <w:numPr>
          <w:ilvl w:val="0"/>
          <w:numId w:val="14"/>
        </w:numPr>
        <w:spacing w:after="0" w:line="276" w:lineRule="auto"/>
        <w:jc w:val="left"/>
        <w:rPr>
          <w:sz w:val="24"/>
          <w:szCs w:val="24"/>
        </w:rPr>
      </w:pPr>
      <w:r w:rsidRPr="006D0045">
        <w:rPr>
          <w:sz w:val="24"/>
          <w:szCs w:val="24"/>
        </w:rPr>
        <w:t xml:space="preserve">the transfer conforms to the requirements of the Regulations and Revenue transfer rules, </w:t>
      </w:r>
      <w:r w:rsidR="000E161F" w:rsidRPr="006D0045">
        <w:rPr>
          <w:sz w:val="24"/>
          <w:szCs w:val="24"/>
        </w:rPr>
        <w:t>and</w:t>
      </w:r>
    </w:p>
    <w:p w14:paraId="2A78F5D8" w14:textId="77777777" w:rsidR="007111F2" w:rsidRPr="006D0045" w:rsidRDefault="000E161F" w:rsidP="00677299">
      <w:pPr>
        <w:pStyle w:val="ListParagraph"/>
        <w:numPr>
          <w:ilvl w:val="0"/>
          <w:numId w:val="14"/>
        </w:numPr>
        <w:spacing w:after="0" w:line="276" w:lineRule="auto"/>
        <w:jc w:val="left"/>
        <w:rPr>
          <w:sz w:val="24"/>
          <w:szCs w:val="24"/>
        </w:rPr>
      </w:pPr>
      <w:r w:rsidRPr="006D0045">
        <w:rPr>
          <w:sz w:val="24"/>
          <w:szCs w:val="24"/>
        </w:rPr>
        <w:t xml:space="preserve">it </w:t>
      </w:r>
      <w:r w:rsidR="00323AFA" w:rsidRPr="006D0045">
        <w:rPr>
          <w:sz w:val="24"/>
          <w:szCs w:val="24"/>
        </w:rPr>
        <w:t xml:space="preserve">is for bona fide reasons and is not primarily for the purpose of circumventing pension tax legislation and Revenue pension rules and conditions. </w:t>
      </w:r>
    </w:p>
    <w:p w14:paraId="7D7C1B7C" w14:textId="77777777" w:rsidR="00DC75D8" w:rsidRPr="00D263C4" w:rsidRDefault="00DC75D8" w:rsidP="00677299">
      <w:pPr>
        <w:spacing w:after="0" w:line="276" w:lineRule="auto"/>
        <w:ind w:left="-5"/>
        <w:jc w:val="left"/>
        <w:rPr>
          <w:sz w:val="24"/>
          <w:szCs w:val="24"/>
        </w:rPr>
      </w:pPr>
    </w:p>
    <w:p w14:paraId="791F0C7B" w14:textId="5E598F45" w:rsidR="007111F2" w:rsidRPr="00C55CF0" w:rsidRDefault="00323AFA" w:rsidP="00677299">
      <w:pPr>
        <w:spacing w:after="0" w:line="276" w:lineRule="auto"/>
        <w:ind w:left="-5"/>
        <w:jc w:val="left"/>
        <w:rPr>
          <w:sz w:val="24"/>
          <w:szCs w:val="24"/>
        </w:rPr>
      </w:pPr>
      <w:r w:rsidRPr="00D263C4">
        <w:rPr>
          <w:sz w:val="24"/>
          <w:szCs w:val="24"/>
        </w:rPr>
        <w:t xml:space="preserve">Transfers that comply with </w:t>
      </w:r>
      <w:proofErr w:type="gramStart"/>
      <w:r w:rsidRPr="00D263C4">
        <w:rPr>
          <w:sz w:val="24"/>
          <w:szCs w:val="24"/>
        </w:rPr>
        <w:t>all of</w:t>
      </w:r>
      <w:proofErr w:type="gramEnd"/>
      <w:r w:rsidRPr="00D263C4">
        <w:rPr>
          <w:sz w:val="24"/>
          <w:szCs w:val="24"/>
        </w:rPr>
        <w:t xml:space="preserve"> the above requirements may be made without prior </w:t>
      </w:r>
      <w:r w:rsidR="00E03E73">
        <w:rPr>
          <w:sz w:val="24"/>
          <w:szCs w:val="24"/>
        </w:rPr>
        <w:t>Revenue approval. F</w:t>
      </w:r>
      <w:r w:rsidRPr="00D263C4">
        <w:rPr>
          <w:sz w:val="24"/>
          <w:szCs w:val="24"/>
        </w:rPr>
        <w:t>urther information</w:t>
      </w:r>
      <w:r w:rsidR="00E03E73">
        <w:rPr>
          <w:sz w:val="24"/>
          <w:szCs w:val="24"/>
        </w:rPr>
        <w:t xml:space="preserve"> is available </w:t>
      </w:r>
      <w:r w:rsidR="00A571D1">
        <w:rPr>
          <w:sz w:val="24"/>
          <w:szCs w:val="24"/>
        </w:rPr>
        <w:t xml:space="preserve">in the </w:t>
      </w:r>
      <w:hyperlink r:id="rId12" w:history="1">
        <w:r w:rsidR="00A571D1">
          <w:rPr>
            <w:rStyle w:val="Hyperlink"/>
            <w:sz w:val="24"/>
            <w:szCs w:val="24"/>
          </w:rPr>
          <w:t>Revenue Pensions Manual</w:t>
        </w:r>
      </w:hyperlink>
      <w:r w:rsidR="00A571D1">
        <w:rPr>
          <w:sz w:val="24"/>
          <w:szCs w:val="24"/>
        </w:rPr>
        <w:t>.</w:t>
      </w:r>
      <w:r w:rsidRPr="00C55CF0">
        <w:rPr>
          <w:sz w:val="24"/>
          <w:szCs w:val="24"/>
        </w:rPr>
        <w:t xml:space="preserve"> </w:t>
      </w:r>
    </w:p>
    <w:sectPr w:rsidR="007111F2" w:rsidRPr="00C55CF0" w:rsidSect="004F41DC">
      <w:type w:val="continuous"/>
      <w:pgSz w:w="11906" w:h="16838"/>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6AA06" w14:textId="77777777" w:rsidR="00D263C4" w:rsidRDefault="00D263C4" w:rsidP="00D263C4">
      <w:pPr>
        <w:spacing w:after="0" w:line="240" w:lineRule="auto"/>
      </w:pPr>
      <w:r>
        <w:separator/>
      </w:r>
    </w:p>
  </w:endnote>
  <w:endnote w:type="continuationSeparator" w:id="0">
    <w:p w14:paraId="6942C65F" w14:textId="77777777" w:rsidR="00D263C4" w:rsidRDefault="00D263C4" w:rsidP="00D26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36710"/>
      <w:docPartObj>
        <w:docPartGallery w:val="Page Numbers (Bottom of Page)"/>
        <w:docPartUnique/>
      </w:docPartObj>
    </w:sdtPr>
    <w:sdtEndPr/>
    <w:sdtContent>
      <w:sdt>
        <w:sdtPr>
          <w:id w:val="1995365254"/>
          <w:docPartObj>
            <w:docPartGallery w:val="Page Numbers (Top of Page)"/>
            <w:docPartUnique/>
          </w:docPartObj>
        </w:sdtPr>
        <w:sdtEndPr/>
        <w:sdtContent>
          <w:p w14:paraId="0F0B3FC2" w14:textId="39E7AA82" w:rsidR="007B08AF" w:rsidRPr="00C55CF0" w:rsidRDefault="000D27A2" w:rsidP="000D27A2">
            <w:pPr>
              <w:pStyle w:val="Footer"/>
              <w:jc w:val="right"/>
            </w:pPr>
            <w:r>
              <w:rPr>
                <w:sz w:val="20"/>
                <w:szCs w:val="20"/>
              </w:rPr>
              <w:t>Date published: August 2015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021378"/>
      <w:docPartObj>
        <w:docPartGallery w:val="Page Numbers (Bottom of Page)"/>
        <w:docPartUnique/>
      </w:docPartObj>
    </w:sdtPr>
    <w:sdtEndPr/>
    <w:sdtContent>
      <w:sdt>
        <w:sdtPr>
          <w:id w:val="-522860450"/>
          <w:docPartObj>
            <w:docPartGallery w:val="Page Numbers (Top of Page)"/>
            <w:docPartUnique/>
          </w:docPartObj>
        </w:sdtPr>
        <w:sdtEndPr/>
        <w:sdtContent>
          <w:p w14:paraId="18558F95" w14:textId="77777777" w:rsidR="000D27A2" w:rsidRPr="00C55CF0" w:rsidRDefault="000D27A2" w:rsidP="00C55CF0">
            <w:pPr>
              <w:pStyle w:val="Footer"/>
              <w:jc w:val="center"/>
            </w:pPr>
            <w:r w:rsidRPr="003B07E5">
              <w:rPr>
                <w:sz w:val="20"/>
                <w:szCs w:val="20"/>
              </w:rPr>
              <w:t xml:space="preserve">Page </w:t>
            </w:r>
            <w:r w:rsidRPr="003B07E5">
              <w:rPr>
                <w:b/>
                <w:bCs/>
                <w:sz w:val="20"/>
                <w:szCs w:val="20"/>
              </w:rPr>
              <w:fldChar w:fldCharType="begin"/>
            </w:r>
            <w:r w:rsidRPr="003B07E5">
              <w:rPr>
                <w:b/>
                <w:bCs/>
                <w:sz w:val="20"/>
                <w:szCs w:val="20"/>
              </w:rPr>
              <w:instrText xml:space="preserve"> PAGE </w:instrText>
            </w:r>
            <w:r w:rsidRPr="003B07E5">
              <w:rPr>
                <w:b/>
                <w:bCs/>
                <w:sz w:val="20"/>
                <w:szCs w:val="20"/>
              </w:rPr>
              <w:fldChar w:fldCharType="separate"/>
            </w:r>
            <w:r>
              <w:rPr>
                <w:b/>
                <w:bCs/>
                <w:noProof/>
                <w:sz w:val="20"/>
                <w:szCs w:val="20"/>
              </w:rPr>
              <w:t>2</w:t>
            </w:r>
            <w:r w:rsidRPr="003B07E5">
              <w:rPr>
                <w:b/>
                <w:bCs/>
                <w:sz w:val="20"/>
                <w:szCs w:val="20"/>
              </w:rPr>
              <w:fldChar w:fldCharType="end"/>
            </w:r>
            <w:r w:rsidRPr="003B07E5">
              <w:rPr>
                <w:sz w:val="20"/>
                <w:szCs w:val="20"/>
              </w:rPr>
              <w:t xml:space="preserve"> of </w:t>
            </w:r>
            <w:r w:rsidRPr="003B07E5">
              <w:rPr>
                <w:b/>
                <w:bCs/>
                <w:sz w:val="20"/>
                <w:szCs w:val="20"/>
              </w:rPr>
              <w:fldChar w:fldCharType="begin"/>
            </w:r>
            <w:r w:rsidRPr="003B07E5">
              <w:rPr>
                <w:b/>
                <w:bCs/>
                <w:sz w:val="20"/>
                <w:szCs w:val="20"/>
              </w:rPr>
              <w:instrText xml:space="preserve"> NUMPAGES  </w:instrText>
            </w:r>
            <w:r w:rsidRPr="003B07E5">
              <w:rPr>
                <w:b/>
                <w:bCs/>
                <w:sz w:val="20"/>
                <w:szCs w:val="20"/>
              </w:rPr>
              <w:fldChar w:fldCharType="separate"/>
            </w:r>
            <w:r>
              <w:rPr>
                <w:b/>
                <w:bCs/>
                <w:noProof/>
                <w:sz w:val="20"/>
                <w:szCs w:val="20"/>
              </w:rPr>
              <w:t>4</w:t>
            </w:r>
            <w:r w:rsidRPr="003B07E5">
              <w:rPr>
                <w:b/>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370571"/>
      <w:docPartObj>
        <w:docPartGallery w:val="Page Numbers (Bottom of Page)"/>
        <w:docPartUnique/>
      </w:docPartObj>
    </w:sdtPr>
    <w:sdtEndPr/>
    <w:sdtContent>
      <w:sdt>
        <w:sdtPr>
          <w:id w:val="1728636285"/>
          <w:docPartObj>
            <w:docPartGallery w:val="Page Numbers (Top of Page)"/>
            <w:docPartUnique/>
          </w:docPartObj>
        </w:sdtPr>
        <w:sdtEndPr/>
        <w:sdtContent>
          <w:p w14:paraId="7122B28E" w14:textId="4FE7C59E" w:rsidR="003B07E5" w:rsidRDefault="003B07E5">
            <w:pPr>
              <w:pStyle w:val="Footer"/>
              <w:jc w:val="center"/>
            </w:pPr>
            <w:r w:rsidRPr="003B07E5">
              <w:rPr>
                <w:sz w:val="20"/>
                <w:szCs w:val="20"/>
              </w:rPr>
              <w:t xml:space="preserve">Page </w:t>
            </w:r>
            <w:r w:rsidRPr="003B07E5">
              <w:rPr>
                <w:b/>
                <w:bCs/>
                <w:sz w:val="20"/>
                <w:szCs w:val="20"/>
              </w:rPr>
              <w:fldChar w:fldCharType="begin"/>
            </w:r>
            <w:r w:rsidRPr="003B07E5">
              <w:rPr>
                <w:b/>
                <w:bCs/>
                <w:sz w:val="20"/>
                <w:szCs w:val="20"/>
              </w:rPr>
              <w:instrText xml:space="preserve"> PAGE </w:instrText>
            </w:r>
            <w:r w:rsidRPr="003B07E5">
              <w:rPr>
                <w:b/>
                <w:bCs/>
                <w:sz w:val="20"/>
                <w:szCs w:val="20"/>
              </w:rPr>
              <w:fldChar w:fldCharType="separate"/>
            </w:r>
            <w:r w:rsidR="000A42E6">
              <w:rPr>
                <w:b/>
                <w:bCs/>
                <w:noProof/>
                <w:sz w:val="20"/>
                <w:szCs w:val="20"/>
              </w:rPr>
              <w:t>4</w:t>
            </w:r>
            <w:r w:rsidRPr="003B07E5">
              <w:rPr>
                <w:b/>
                <w:bCs/>
                <w:sz w:val="20"/>
                <w:szCs w:val="20"/>
              </w:rPr>
              <w:fldChar w:fldCharType="end"/>
            </w:r>
            <w:r w:rsidRPr="003B07E5">
              <w:rPr>
                <w:sz w:val="20"/>
                <w:szCs w:val="20"/>
              </w:rPr>
              <w:t xml:space="preserve"> of </w:t>
            </w:r>
            <w:r w:rsidRPr="003B07E5">
              <w:rPr>
                <w:b/>
                <w:bCs/>
                <w:sz w:val="20"/>
                <w:szCs w:val="20"/>
              </w:rPr>
              <w:fldChar w:fldCharType="begin"/>
            </w:r>
            <w:r w:rsidRPr="003B07E5">
              <w:rPr>
                <w:b/>
                <w:bCs/>
                <w:sz w:val="20"/>
                <w:szCs w:val="20"/>
              </w:rPr>
              <w:instrText xml:space="preserve"> NUMPAGES  </w:instrText>
            </w:r>
            <w:r w:rsidRPr="003B07E5">
              <w:rPr>
                <w:b/>
                <w:bCs/>
                <w:sz w:val="20"/>
                <w:szCs w:val="20"/>
              </w:rPr>
              <w:fldChar w:fldCharType="separate"/>
            </w:r>
            <w:r w:rsidR="000A42E6">
              <w:rPr>
                <w:b/>
                <w:bCs/>
                <w:noProof/>
                <w:sz w:val="20"/>
                <w:szCs w:val="20"/>
              </w:rPr>
              <w:t>4</w:t>
            </w:r>
            <w:r w:rsidRPr="003B07E5">
              <w:rPr>
                <w:b/>
                <w:bCs/>
                <w:sz w:val="20"/>
                <w:szCs w:val="20"/>
              </w:rPr>
              <w:fldChar w:fldCharType="end"/>
            </w:r>
          </w:p>
        </w:sdtContent>
      </w:sdt>
    </w:sdtContent>
  </w:sdt>
  <w:p w14:paraId="5B28EC51" w14:textId="77777777" w:rsidR="004F41DC" w:rsidRPr="004F41DC" w:rsidRDefault="004F41DC" w:rsidP="004F4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1E62E" w14:textId="77777777" w:rsidR="00D263C4" w:rsidRDefault="00D263C4" w:rsidP="00D263C4">
      <w:pPr>
        <w:spacing w:after="0" w:line="240" w:lineRule="auto"/>
      </w:pPr>
      <w:r>
        <w:separator/>
      </w:r>
    </w:p>
  </w:footnote>
  <w:footnote w:type="continuationSeparator" w:id="0">
    <w:p w14:paraId="73B92B3C" w14:textId="77777777" w:rsidR="00D263C4" w:rsidRDefault="00D263C4" w:rsidP="00D263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0428D" w14:textId="4A859C94" w:rsidR="007B08AF" w:rsidRDefault="002C708E" w:rsidP="00D263C4">
    <w:pPr>
      <w:pStyle w:val="Header"/>
      <w:jc w:val="center"/>
    </w:pPr>
    <w:r>
      <w:rPr>
        <w:noProof/>
        <w:lang w:val="en-GB" w:eastAsia="en-GB"/>
      </w:rPr>
      <w:drawing>
        <wp:inline distT="0" distB="0" distL="0" distR="0" wp14:anchorId="02D4A5F9" wp14:editId="32EFEA85">
          <wp:extent cx="1619250" cy="542925"/>
          <wp:effectExtent l="0" t="0" r="0" b="9525"/>
          <wp:docPr id="15" name="Picture 15"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raphical user interface, 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42925"/>
                  </a:xfrm>
                  <a:prstGeom prst="rect">
                    <a:avLst/>
                  </a:prstGeom>
                  <a:noFill/>
                  <a:ln>
                    <a:noFill/>
                  </a:ln>
                </pic:spPr>
              </pic:pic>
            </a:graphicData>
          </a:graphic>
        </wp:inline>
      </w:drawing>
    </w:r>
  </w:p>
  <w:p w14:paraId="2AF613DC" w14:textId="77777777" w:rsidR="007B08AF" w:rsidRDefault="007B08AF" w:rsidP="00D263C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51C"/>
    <w:multiLevelType w:val="hybridMultilevel"/>
    <w:tmpl w:val="412E0F24"/>
    <w:lvl w:ilvl="0" w:tplc="2C785E16">
      <w:start w:val="1"/>
      <w:numFmt w:val="bullet"/>
      <w:lvlText w:val="•"/>
      <w:lvlJc w:val="left"/>
      <w:pPr>
        <w:ind w:left="720"/>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1" w:tplc="E8905D06">
      <w:start w:val="1"/>
      <w:numFmt w:val="bullet"/>
      <w:lvlText w:val="o"/>
      <w:lvlJc w:val="left"/>
      <w:pPr>
        <w:ind w:left="1440"/>
      </w:pPr>
      <w:rPr>
        <w:rFonts w:ascii="Segoe UI Symbol" w:eastAsia="Segoe UI Symbol" w:hAnsi="Segoe UI Symbol" w:cs="Segoe UI Symbol"/>
        <w:b w:val="0"/>
        <w:i w:val="0"/>
        <w:strike w:val="0"/>
        <w:dstrike w:val="0"/>
        <w:color w:val="1F497D"/>
        <w:sz w:val="22"/>
        <w:szCs w:val="22"/>
        <w:u w:val="none" w:color="000000"/>
        <w:bdr w:val="none" w:sz="0" w:space="0" w:color="auto"/>
        <w:shd w:val="clear" w:color="auto" w:fill="auto"/>
        <w:vertAlign w:val="baseline"/>
      </w:rPr>
    </w:lvl>
    <w:lvl w:ilvl="2" w:tplc="2070BD9C">
      <w:start w:val="1"/>
      <w:numFmt w:val="bullet"/>
      <w:lvlText w:val="▪"/>
      <w:lvlJc w:val="left"/>
      <w:pPr>
        <w:ind w:left="2160"/>
      </w:pPr>
      <w:rPr>
        <w:rFonts w:ascii="Segoe UI Symbol" w:eastAsia="Segoe UI Symbol" w:hAnsi="Segoe UI Symbol" w:cs="Segoe UI Symbol"/>
        <w:b w:val="0"/>
        <w:i w:val="0"/>
        <w:strike w:val="0"/>
        <w:dstrike w:val="0"/>
        <w:color w:val="1F497D"/>
        <w:sz w:val="22"/>
        <w:szCs w:val="22"/>
        <w:u w:val="none" w:color="000000"/>
        <w:bdr w:val="none" w:sz="0" w:space="0" w:color="auto"/>
        <w:shd w:val="clear" w:color="auto" w:fill="auto"/>
        <w:vertAlign w:val="baseline"/>
      </w:rPr>
    </w:lvl>
    <w:lvl w:ilvl="3" w:tplc="9A866E40">
      <w:start w:val="1"/>
      <w:numFmt w:val="bullet"/>
      <w:lvlText w:val="•"/>
      <w:lvlJc w:val="left"/>
      <w:pPr>
        <w:ind w:left="2880"/>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4" w:tplc="F07C6BEE">
      <w:start w:val="1"/>
      <w:numFmt w:val="bullet"/>
      <w:lvlText w:val="o"/>
      <w:lvlJc w:val="left"/>
      <w:pPr>
        <w:ind w:left="3600"/>
      </w:pPr>
      <w:rPr>
        <w:rFonts w:ascii="Segoe UI Symbol" w:eastAsia="Segoe UI Symbol" w:hAnsi="Segoe UI Symbol" w:cs="Segoe UI Symbol"/>
        <w:b w:val="0"/>
        <w:i w:val="0"/>
        <w:strike w:val="0"/>
        <w:dstrike w:val="0"/>
        <w:color w:val="1F497D"/>
        <w:sz w:val="22"/>
        <w:szCs w:val="22"/>
        <w:u w:val="none" w:color="000000"/>
        <w:bdr w:val="none" w:sz="0" w:space="0" w:color="auto"/>
        <w:shd w:val="clear" w:color="auto" w:fill="auto"/>
        <w:vertAlign w:val="baseline"/>
      </w:rPr>
    </w:lvl>
    <w:lvl w:ilvl="5" w:tplc="0C56C55A">
      <w:start w:val="1"/>
      <w:numFmt w:val="bullet"/>
      <w:lvlText w:val="▪"/>
      <w:lvlJc w:val="left"/>
      <w:pPr>
        <w:ind w:left="4320"/>
      </w:pPr>
      <w:rPr>
        <w:rFonts w:ascii="Segoe UI Symbol" w:eastAsia="Segoe UI Symbol" w:hAnsi="Segoe UI Symbol" w:cs="Segoe UI Symbol"/>
        <w:b w:val="0"/>
        <w:i w:val="0"/>
        <w:strike w:val="0"/>
        <w:dstrike w:val="0"/>
        <w:color w:val="1F497D"/>
        <w:sz w:val="22"/>
        <w:szCs w:val="22"/>
        <w:u w:val="none" w:color="000000"/>
        <w:bdr w:val="none" w:sz="0" w:space="0" w:color="auto"/>
        <w:shd w:val="clear" w:color="auto" w:fill="auto"/>
        <w:vertAlign w:val="baseline"/>
      </w:rPr>
    </w:lvl>
    <w:lvl w:ilvl="6" w:tplc="8D36E056">
      <w:start w:val="1"/>
      <w:numFmt w:val="bullet"/>
      <w:lvlText w:val="•"/>
      <w:lvlJc w:val="left"/>
      <w:pPr>
        <w:ind w:left="5040"/>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7" w:tplc="F95CF824">
      <w:start w:val="1"/>
      <w:numFmt w:val="bullet"/>
      <w:lvlText w:val="o"/>
      <w:lvlJc w:val="left"/>
      <w:pPr>
        <w:ind w:left="5760"/>
      </w:pPr>
      <w:rPr>
        <w:rFonts w:ascii="Segoe UI Symbol" w:eastAsia="Segoe UI Symbol" w:hAnsi="Segoe UI Symbol" w:cs="Segoe UI Symbol"/>
        <w:b w:val="0"/>
        <w:i w:val="0"/>
        <w:strike w:val="0"/>
        <w:dstrike w:val="0"/>
        <w:color w:val="1F497D"/>
        <w:sz w:val="22"/>
        <w:szCs w:val="22"/>
        <w:u w:val="none" w:color="000000"/>
        <w:bdr w:val="none" w:sz="0" w:space="0" w:color="auto"/>
        <w:shd w:val="clear" w:color="auto" w:fill="auto"/>
        <w:vertAlign w:val="baseline"/>
      </w:rPr>
    </w:lvl>
    <w:lvl w:ilvl="8" w:tplc="25B86F24">
      <w:start w:val="1"/>
      <w:numFmt w:val="bullet"/>
      <w:lvlText w:val="▪"/>
      <w:lvlJc w:val="left"/>
      <w:pPr>
        <w:ind w:left="6480"/>
      </w:pPr>
      <w:rPr>
        <w:rFonts w:ascii="Segoe UI Symbol" w:eastAsia="Segoe UI Symbol" w:hAnsi="Segoe UI Symbol" w:cs="Segoe UI Symbol"/>
        <w:b w:val="0"/>
        <w:i w:val="0"/>
        <w:strike w:val="0"/>
        <w:dstrike w:val="0"/>
        <w:color w:val="1F497D"/>
        <w:sz w:val="22"/>
        <w:szCs w:val="22"/>
        <w:u w:val="none" w:color="000000"/>
        <w:bdr w:val="none" w:sz="0" w:space="0" w:color="auto"/>
        <w:shd w:val="clear" w:color="auto" w:fill="auto"/>
        <w:vertAlign w:val="baseline"/>
      </w:rPr>
    </w:lvl>
  </w:abstractNum>
  <w:abstractNum w:abstractNumId="1" w15:restartNumberingAfterBreak="0">
    <w:nsid w:val="0D760D5E"/>
    <w:multiLevelType w:val="hybridMultilevel"/>
    <w:tmpl w:val="E7AC52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120163"/>
    <w:multiLevelType w:val="hybridMultilevel"/>
    <w:tmpl w:val="B82ABFFA"/>
    <w:lvl w:ilvl="0" w:tplc="52AE6FEE">
      <w:start w:val="1"/>
      <w:numFmt w:val="bullet"/>
      <w:lvlText w:val="•"/>
      <w:lvlJc w:val="left"/>
      <w:pPr>
        <w:ind w:left="720"/>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1" w:tplc="9EEADED8">
      <w:start w:val="1"/>
      <w:numFmt w:val="bullet"/>
      <w:lvlText w:val="o"/>
      <w:lvlJc w:val="left"/>
      <w:pPr>
        <w:ind w:left="1080"/>
      </w:pPr>
      <w:rPr>
        <w:rFonts w:ascii="Segoe UI Symbol" w:eastAsia="Segoe UI Symbol" w:hAnsi="Segoe UI Symbol" w:cs="Segoe UI Symbol"/>
        <w:b w:val="0"/>
        <w:i w:val="0"/>
        <w:strike w:val="0"/>
        <w:dstrike w:val="0"/>
        <w:color w:val="1F497D"/>
        <w:sz w:val="22"/>
        <w:szCs w:val="22"/>
        <w:u w:val="none" w:color="000000"/>
        <w:bdr w:val="none" w:sz="0" w:space="0" w:color="auto"/>
        <w:shd w:val="clear" w:color="auto" w:fill="auto"/>
        <w:vertAlign w:val="baseline"/>
      </w:rPr>
    </w:lvl>
    <w:lvl w:ilvl="2" w:tplc="C7E6751E">
      <w:start w:val="1"/>
      <w:numFmt w:val="bullet"/>
      <w:lvlText w:val="▪"/>
      <w:lvlJc w:val="left"/>
      <w:pPr>
        <w:ind w:left="1800"/>
      </w:pPr>
      <w:rPr>
        <w:rFonts w:ascii="Segoe UI Symbol" w:eastAsia="Segoe UI Symbol" w:hAnsi="Segoe UI Symbol" w:cs="Segoe UI Symbol"/>
        <w:b w:val="0"/>
        <w:i w:val="0"/>
        <w:strike w:val="0"/>
        <w:dstrike w:val="0"/>
        <w:color w:val="1F497D"/>
        <w:sz w:val="22"/>
        <w:szCs w:val="22"/>
        <w:u w:val="none" w:color="000000"/>
        <w:bdr w:val="none" w:sz="0" w:space="0" w:color="auto"/>
        <w:shd w:val="clear" w:color="auto" w:fill="auto"/>
        <w:vertAlign w:val="baseline"/>
      </w:rPr>
    </w:lvl>
    <w:lvl w:ilvl="3" w:tplc="60CE5A16">
      <w:start w:val="1"/>
      <w:numFmt w:val="bullet"/>
      <w:lvlText w:val="•"/>
      <w:lvlJc w:val="left"/>
      <w:pPr>
        <w:ind w:left="2520"/>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4" w:tplc="6C685EEE">
      <w:start w:val="1"/>
      <w:numFmt w:val="bullet"/>
      <w:lvlText w:val="o"/>
      <w:lvlJc w:val="left"/>
      <w:pPr>
        <w:ind w:left="3240"/>
      </w:pPr>
      <w:rPr>
        <w:rFonts w:ascii="Segoe UI Symbol" w:eastAsia="Segoe UI Symbol" w:hAnsi="Segoe UI Symbol" w:cs="Segoe UI Symbol"/>
        <w:b w:val="0"/>
        <w:i w:val="0"/>
        <w:strike w:val="0"/>
        <w:dstrike w:val="0"/>
        <w:color w:val="1F497D"/>
        <w:sz w:val="22"/>
        <w:szCs w:val="22"/>
        <w:u w:val="none" w:color="000000"/>
        <w:bdr w:val="none" w:sz="0" w:space="0" w:color="auto"/>
        <w:shd w:val="clear" w:color="auto" w:fill="auto"/>
        <w:vertAlign w:val="baseline"/>
      </w:rPr>
    </w:lvl>
    <w:lvl w:ilvl="5" w:tplc="312CCA38">
      <w:start w:val="1"/>
      <w:numFmt w:val="bullet"/>
      <w:lvlText w:val="▪"/>
      <w:lvlJc w:val="left"/>
      <w:pPr>
        <w:ind w:left="3960"/>
      </w:pPr>
      <w:rPr>
        <w:rFonts w:ascii="Segoe UI Symbol" w:eastAsia="Segoe UI Symbol" w:hAnsi="Segoe UI Symbol" w:cs="Segoe UI Symbol"/>
        <w:b w:val="0"/>
        <w:i w:val="0"/>
        <w:strike w:val="0"/>
        <w:dstrike w:val="0"/>
        <w:color w:val="1F497D"/>
        <w:sz w:val="22"/>
        <w:szCs w:val="22"/>
        <w:u w:val="none" w:color="000000"/>
        <w:bdr w:val="none" w:sz="0" w:space="0" w:color="auto"/>
        <w:shd w:val="clear" w:color="auto" w:fill="auto"/>
        <w:vertAlign w:val="baseline"/>
      </w:rPr>
    </w:lvl>
    <w:lvl w:ilvl="6" w:tplc="771E23AC">
      <w:start w:val="1"/>
      <w:numFmt w:val="bullet"/>
      <w:lvlText w:val="•"/>
      <w:lvlJc w:val="left"/>
      <w:pPr>
        <w:ind w:left="4680"/>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7" w:tplc="C688CEA8">
      <w:start w:val="1"/>
      <w:numFmt w:val="bullet"/>
      <w:lvlText w:val="o"/>
      <w:lvlJc w:val="left"/>
      <w:pPr>
        <w:ind w:left="5400"/>
      </w:pPr>
      <w:rPr>
        <w:rFonts w:ascii="Segoe UI Symbol" w:eastAsia="Segoe UI Symbol" w:hAnsi="Segoe UI Symbol" w:cs="Segoe UI Symbol"/>
        <w:b w:val="0"/>
        <w:i w:val="0"/>
        <w:strike w:val="0"/>
        <w:dstrike w:val="0"/>
        <w:color w:val="1F497D"/>
        <w:sz w:val="22"/>
        <w:szCs w:val="22"/>
        <w:u w:val="none" w:color="000000"/>
        <w:bdr w:val="none" w:sz="0" w:space="0" w:color="auto"/>
        <w:shd w:val="clear" w:color="auto" w:fill="auto"/>
        <w:vertAlign w:val="baseline"/>
      </w:rPr>
    </w:lvl>
    <w:lvl w:ilvl="8" w:tplc="B050A4A0">
      <w:start w:val="1"/>
      <w:numFmt w:val="bullet"/>
      <w:lvlText w:val="▪"/>
      <w:lvlJc w:val="left"/>
      <w:pPr>
        <w:ind w:left="6120"/>
      </w:pPr>
      <w:rPr>
        <w:rFonts w:ascii="Segoe UI Symbol" w:eastAsia="Segoe UI Symbol" w:hAnsi="Segoe UI Symbol" w:cs="Segoe UI Symbol"/>
        <w:b w:val="0"/>
        <w:i w:val="0"/>
        <w:strike w:val="0"/>
        <w:dstrike w:val="0"/>
        <w:color w:val="1F497D"/>
        <w:sz w:val="22"/>
        <w:szCs w:val="22"/>
        <w:u w:val="none" w:color="000000"/>
        <w:bdr w:val="none" w:sz="0" w:space="0" w:color="auto"/>
        <w:shd w:val="clear" w:color="auto" w:fill="auto"/>
        <w:vertAlign w:val="baseline"/>
      </w:rPr>
    </w:lvl>
  </w:abstractNum>
  <w:abstractNum w:abstractNumId="3" w15:restartNumberingAfterBreak="0">
    <w:nsid w:val="156B636D"/>
    <w:multiLevelType w:val="hybridMultilevel"/>
    <w:tmpl w:val="5194F7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AB845DA"/>
    <w:multiLevelType w:val="hybridMultilevel"/>
    <w:tmpl w:val="16F6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4D6538"/>
    <w:multiLevelType w:val="hybridMultilevel"/>
    <w:tmpl w:val="A60E0944"/>
    <w:lvl w:ilvl="0" w:tplc="EF785E90">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38339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C6692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F3450C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88960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1C33B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EAC7E4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DAD63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1076A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DB14ECE"/>
    <w:multiLevelType w:val="hybridMultilevel"/>
    <w:tmpl w:val="1AF44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AC51B8"/>
    <w:multiLevelType w:val="hybridMultilevel"/>
    <w:tmpl w:val="6A7A5752"/>
    <w:lvl w:ilvl="0" w:tplc="1C3200C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A8B1784"/>
    <w:multiLevelType w:val="hybridMultilevel"/>
    <w:tmpl w:val="9D229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C948BC"/>
    <w:multiLevelType w:val="hybridMultilevel"/>
    <w:tmpl w:val="3800A8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64D4BD2"/>
    <w:multiLevelType w:val="hybridMultilevel"/>
    <w:tmpl w:val="E9002634"/>
    <w:lvl w:ilvl="0" w:tplc="22F2EF64">
      <w:start w:val="1"/>
      <w:numFmt w:val="bullet"/>
      <w:lvlText w:val="•"/>
      <w:lvlJc w:val="left"/>
      <w:pPr>
        <w:ind w:left="720"/>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1" w:tplc="4E687E98">
      <w:start w:val="1"/>
      <w:numFmt w:val="bullet"/>
      <w:lvlText w:val="o"/>
      <w:lvlJc w:val="left"/>
      <w:pPr>
        <w:ind w:left="1440"/>
      </w:pPr>
      <w:rPr>
        <w:rFonts w:ascii="Segoe UI Symbol" w:eastAsia="Segoe UI Symbol" w:hAnsi="Segoe UI Symbol" w:cs="Segoe UI Symbol"/>
        <w:b w:val="0"/>
        <w:i w:val="0"/>
        <w:strike w:val="0"/>
        <w:dstrike w:val="0"/>
        <w:color w:val="1F497D"/>
        <w:sz w:val="22"/>
        <w:szCs w:val="22"/>
        <w:u w:val="none" w:color="000000"/>
        <w:bdr w:val="none" w:sz="0" w:space="0" w:color="auto"/>
        <w:shd w:val="clear" w:color="auto" w:fill="auto"/>
        <w:vertAlign w:val="baseline"/>
      </w:rPr>
    </w:lvl>
    <w:lvl w:ilvl="2" w:tplc="239ED8A6">
      <w:start w:val="1"/>
      <w:numFmt w:val="bullet"/>
      <w:lvlText w:val="▪"/>
      <w:lvlJc w:val="left"/>
      <w:pPr>
        <w:ind w:left="2160"/>
      </w:pPr>
      <w:rPr>
        <w:rFonts w:ascii="Segoe UI Symbol" w:eastAsia="Segoe UI Symbol" w:hAnsi="Segoe UI Symbol" w:cs="Segoe UI Symbol"/>
        <w:b w:val="0"/>
        <w:i w:val="0"/>
        <w:strike w:val="0"/>
        <w:dstrike w:val="0"/>
        <w:color w:val="1F497D"/>
        <w:sz w:val="22"/>
        <w:szCs w:val="22"/>
        <w:u w:val="none" w:color="000000"/>
        <w:bdr w:val="none" w:sz="0" w:space="0" w:color="auto"/>
        <w:shd w:val="clear" w:color="auto" w:fill="auto"/>
        <w:vertAlign w:val="baseline"/>
      </w:rPr>
    </w:lvl>
    <w:lvl w:ilvl="3" w:tplc="D8EEB04A">
      <w:start w:val="1"/>
      <w:numFmt w:val="bullet"/>
      <w:lvlText w:val="•"/>
      <w:lvlJc w:val="left"/>
      <w:pPr>
        <w:ind w:left="2880"/>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4" w:tplc="AFB89BAC">
      <w:start w:val="1"/>
      <w:numFmt w:val="bullet"/>
      <w:lvlText w:val="o"/>
      <w:lvlJc w:val="left"/>
      <w:pPr>
        <w:ind w:left="3600"/>
      </w:pPr>
      <w:rPr>
        <w:rFonts w:ascii="Segoe UI Symbol" w:eastAsia="Segoe UI Symbol" w:hAnsi="Segoe UI Symbol" w:cs="Segoe UI Symbol"/>
        <w:b w:val="0"/>
        <w:i w:val="0"/>
        <w:strike w:val="0"/>
        <w:dstrike w:val="0"/>
        <w:color w:val="1F497D"/>
        <w:sz w:val="22"/>
        <w:szCs w:val="22"/>
        <w:u w:val="none" w:color="000000"/>
        <w:bdr w:val="none" w:sz="0" w:space="0" w:color="auto"/>
        <w:shd w:val="clear" w:color="auto" w:fill="auto"/>
        <w:vertAlign w:val="baseline"/>
      </w:rPr>
    </w:lvl>
    <w:lvl w:ilvl="5" w:tplc="8236B314">
      <w:start w:val="1"/>
      <w:numFmt w:val="bullet"/>
      <w:lvlText w:val="▪"/>
      <w:lvlJc w:val="left"/>
      <w:pPr>
        <w:ind w:left="4320"/>
      </w:pPr>
      <w:rPr>
        <w:rFonts w:ascii="Segoe UI Symbol" w:eastAsia="Segoe UI Symbol" w:hAnsi="Segoe UI Symbol" w:cs="Segoe UI Symbol"/>
        <w:b w:val="0"/>
        <w:i w:val="0"/>
        <w:strike w:val="0"/>
        <w:dstrike w:val="0"/>
        <w:color w:val="1F497D"/>
        <w:sz w:val="22"/>
        <w:szCs w:val="22"/>
        <w:u w:val="none" w:color="000000"/>
        <w:bdr w:val="none" w:sz="0" w:space="0" w:color="auto"/>
        <w:shd w:val="clear" w:color="auto" w:fill="auto"/>
        <w:vertAlign w:val="baseline"/>
      </w:rPr>
    </w:lvl>
    <w:lvl w:ilvl="6" w:tplc="743A549A">
      <w:start w:val="1"/>
      <w:numFmt w:val="bullet"/>
      <w:lvlText w:val="•"/>
      <w:lvlJc w:val="left"/>
      <w:pPr>
        <w:ind w:left="5040"/>
      </w:pPr>
      <w:rPr>
        <w:rFonts w:ascii="Arial" w:eastAsia="Arial" w:hAnsi="Arial" w:cs="Arial"/>
        <w:b w:val="0"/>
        <w:i w:val="0"/>
        <w:strike w:val="0"/>
        <w:dstrike w:val="0"/>
        <w:color w:val="1F497D"/>
        <w:sz w:val="22"/>
        <w:szCs w:val="22"/>
        <w:u w:val="none" w:color="000000"/>
        <w:bdr w:val="none" w:sz="0" w:space="0" w:color="auto"/>
        <w:shd w:val="clear" w:color="auto" w:fill="auto"/>
        <w:vertAlign w:val="baseline"/>
      </w:rPr>
    </w:lvl>
    <w:lvl w:ilvl="7" w:tplc="220213FE">
      <w:start w:val="1"/>
      <w:numFmt w:val="bullet"/>
      <w:lvlText w:val="o"/>
      <w:lvlJc w:val="left"/>
      <w:pPr>
        <w:ind w:left="5760"/>
      </w:pPr>
      <w:rPr>
        <w:rFonts w:ascii="Segoe UI Symbol" w:eastAsia="Segoe UI Symbol" w:hAnsi="Segoe UI Symbol" w:cs="Segoe UI Symbol"/>
        <w:b w:val="0"/>
        <w:i w:val="0"/>
        <w:strike w:val="0"/>
        <w:dstrike w:val="0"/>
        <w:color w:val="1F497D"/>
        <w:sz w:val="22"/>
        <w:szCs w:val="22"/>
        <w:u w:val="none" w:color="000000"/>
        <w:bdr w:val="none" w:sz="0" w:space="0" w:color="auto"/>
        <w:shd w:val="clear" w:color="auto" w:fill="auto"/>
        <w:vertAlign w:val="baseline"/>
      </w:rPr>
    </w:lvl>
    <w:lvl w:ilvl="8" w:tplc="6E985492">
      <w:start w:val="1"/>
      <w:numFmt w:val="bullet"/>
      <w:lvlText w:val="▪"/>
      <w:lvlJc w:val="left"/>
      <w:pPr>
        <w:ind w:left="6480"/>
      </w:pPr>
      <w:rPr>
        <w:rFonts w:ascii="Segoe UI Symbol" w:eastAsia="Segoe UI Symbol" w:hAnsi="Segoe UI Symbol" w:cs="Segoe UI Symbol"/>
        <w:b w:val="0"/>
        <w:i w:val="0"/>
        <w:strike w:val="0"/>
        <w:dstrike w:val="0"/>
        <w:color w:val="1F497D"/>
        <w:sz w:val="22"/>
        <w:szCs w:val="22"/>
        <w:u w:val="none" w:color="000000"/>
        <w:bdr w:val="none" w:sz="0" w:space="0" w:color="auto"/>
        <w:shd w:val="clear" w:color="auto" w:fill="auto"/>
        <w:vertAlign w:val="baseline"/>
      </w:rPr>
    </w:lvl>
  </w:abstractNum>
  <w:abstractNum w:abstractNumId="11" w15:restartNumberingAfterBreak="0">
    <w:nsid w:val="53506002"/>
    <w:multiLevelType w:val="hybridMultilevel"/>
    <w:tmpl w:val="0B8A07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A26312E"/>
    <w:multiLevelType w:val="hybridMultilevel"/>
    <w:tmpl w:val="F468CB9C"/>
    <w:lvl w:ilvl="0" w:tplc="F9024E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F54E29"/>
    <w:multiLevelType w:val="hybridMultilevel"/>
    <w:tmpl w:val="7DB29420"/>
    <w:lvl w:ilvl="0" w:tplc="18090001">
      <w:start w:val="1"/>
      <w:numFmt w:val="bullet"/>
      <w:lvlText w:val=""/>
      <w:lvlJc w:val="left"/>
      <w:pPr>
        <w:ind w:left="705" w:hanging="360"/>
      </w:pPr>
      <w:rPr>
        <w:rFonts w:ascii="Symbol" w:hAnsi="Symbol" w:hint="default"/>
      </w:rPr>
    </w:lvl>
    <w:lvl w:ilvl="1" w:tplc="18090003" w:tentative="1">
      <w:start w:val="1"/>
      <w:numFmt w:val="bullet"/>
      <w:lvlText w:val="o"/>
      <w:lvlJc w:val="left"/>
      <w:pPr>
        <w:ind w:left="1425" w:hanging="360"/>
      </w:pPr>
      <w:rPr>
        <w:rFonts w:ascii="Courier New" w:hAnsi="Courier New" w:cs="Courier New" w:hint="default"/>
      </w:rPr>
    </w:lvl>
    <w:lvl w:ilvl="2" w:tplc="18090005" w:tentative="1">
      <w:start w:val="1"/>
      <w:numFmt w:val="bullet"/>
      <w:lvlText w:val=""/>
      <w:lvlJc w:val="left"/>
      <w:pPr>
        <w:ind w:left="2145" w:hanging="360"/>
      </w:pPr>
      <w:rPr>
        <w:rFonts w:ascii="Wingdings" w:hAnsi="Wingdings" w:hint="default"/>
      </w:rPr>
    </w:lvl>
    <w:lvl w:ilvl="3" w:tplc="18090001" w:tentative="1">
      <w:start w:val="1"/>
      <w:numFmt w:val="bullet"/>
      <w:lvlText w:val=""/>
      <w:lvlJc w:val="left"/>
      <w:pPr>
        <w:ind w:left="2865" w:hanging="360"/>
      </w:pPr>
      <w:rPr>
        <w:rFonts w:ascii="Symbol" w:hAnsi="Symbol" w:hint="default"/>
      </w:rPr>
    </w:lvl>
    <w:lvl w:ilvl="4" w:tplc="18090003" w:tentative="1">
      <w:start w:val="1"/>
      <w:numFmt w:val="bullet"/>
      <w:lvlText w:val="o"/>
      <w:lvlJc w:val="left"/>
      <w:pPr>
        <w:ind w:left="3585" w:hanging="360"/>
      </w:pPr>
      <w:rPr>
        <w:rFonts w:ascii="Courier New" w:hAnsi="Courier New" w:cs="Courier New" w:hint="default"/>
      </w:rPr>
    </w:lvl>
    <w:lvl w:ilvl="5" w:tplc="18090005" w:tentative="1">
      <w:start w:val="1"/>
      <w:numFmt w:val="bullet"/>
      <w:lvlText w:val=""/>
      <w:lvlJc w:val="left"/>
      <w:pPr>
        <w:ind w:left="4305" w:hanging="360"/>
      </w:pPr>
      <w:rPr>
        <w:rFonts w:ascii="Wingdings" w:hAnsi="Wingdings" w:hint="default"/>
      </w:rPr>
    </w:lvl>
    <w:lvl w:ilvl="6" w:tplc="18090001" w:tentative="1">
      <w:start w:val="1"/>
      <w:numFmt w:val="bullet"/>
      <w:lvlText w:val=""/>
      <w:lvlJc w:val="left"/>
      <w:pPr>
        <w:ind w:left="5025" w:hanging="360"/>
      </w:pPr>
      <w:rPr>
        <w:rFonts w:ascii="Symbol" w:hAnsi="Symbol" w:hint="default"/>
      </w:rPr>
    </w:lvl>
    <w:lvl w:ilvl="7" w:tplc="18090003" w:tentative="1">
      <w:start w:val="1"/>
      <w:numFmt w:val="bullet"/>
      <w:lvlText w:val="o"/>
      <w:lvlJc w:val="left"/>
      <w:pPr>
        <w:ind w:left="5745" w:hanging="360"/>
      </w:pPr>
      <w:rPr>
        <w:rFonts w:ascii="Courier New" w:hAnsi="Courier New" w:cs="Courier New" w:hint="default"/>
      </w:rPr>
    </w:lvl>
    <w:lvl w:ilvl="8" w:tplc="18090005" w:tentative="1">
      <w:start w:val="1"/>
      <w:numFmt w:val="bullet"/>
      <w:lvlText w:val=""/>
      <w:lvlJc w:val="left"/>
      <w:pPr>
        <w:ind w:left="6465" w:hanging="360"/>
      </w:pPr>
      <w:rPr>
        <w:rFonts w:ascii="Wingdings" w:hAnsi="Wingdings" w:hint="default"/>
      </w:rPr>
    </w:lvl>
  </w:abstractNum>
  <w:abstractNum w:abstractNumId="14" w15:restartNumberingAfterBreak="0">
    <w:nsid w:val="6B7C4A2A"/>
    <w:multiLevelType w:val="hybridMultilevel"/>
    <w:tmpl w:val="DAEAD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6527567">
    <w:abstractNumId w:val="10"/>
  </w:num>
  <w:num w:numId="2" w16cid:durableId="202256893">
    <w:abstractNumId w:val="0"/>
  </w:num>
  <w:num w:numId="3" w16cid:durableId="1470628664">
    <w:abstractNumId w:val="2"/>
  </w:num>
  <w:num w:numId="4" w16cid:durableId="93785822">
    <w:abstractNumId w:val="5"/>
  </w:num>
  <w:num w:numId="5" w16cid:durableId="1806657815">
    <w:abstractNumId w:val="1"/>
  </w:num>
  <w:num w:numId="6" w16cid:durableId="1259212683">
    <w:abstractNumId w:val="3"/>
  </w:num>
  <w:num w:numId="7" w16cid:durableId="499472253">
    <w:abstractNumId w:val="11"/>
  </w:num>
  <w:num w:numId="8" w16cid:durableId="1041171752">
    <w:abstractNumId w:val="7"/>
  </w:num>
  <w:num w:numId="9" w16cid:durableId="1826044431">
    <w:abstractNumId w:val="9"/>
  </w:num>
  <w:num w:numId="10" w16cid:durableId="1138259005">
    <w:abstractNumId w:val="13"/>
  </w:num>
  <w:num w:numId="11" w16cid:durableId="1847791178">
    <w:abstractNumId w:val="6"/>
  </w:num>
  <w:num w:numId="12" w16cid:durableId="503014635">
    <w:abstractNumId w:val="14"/>
  </w:num>
  <w:num w:numId="13" w16cid:durableId="730616556">
    <w:abstractNumId w:val="4"/>
  </w:num>
  <w:num w:numId="14" w16cid:durableId="319848283">
    <w:abstractNumId w:val="8"/>
  </w:num>
  <w:num w:numId="15" w16cid:durableId="13318373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1F2"/>
    <w:rsid w:val="00015510"/>
    <w:rsid w:val="00080D98"/>
    <w:rsid w:val="000A0AF8"/>
    <w:rsid w:val="000A42E6"/>
    <w:rsid w:val="000D27A2"/>
    <w:rsid w:val="000E161F"/>
    <w:rsid w:val="0010335F"/>
    <w:rsid w:val="00263678"/>
    <w:rsid w:val="0026607F"/>
    <w:rsid w:val="00267AB5"/>
    <w:rsid w:val="002C3D8B"/>
    <w:rsid w:val="002C708E"/>
    <w:rsid w:val="00323AFA"/>
    <w:rsid w:val="00381AC6"/>
    <w:rsid w:val="003B07E5"/>
    <w:rsid w:val="004F41DC"/>
    <w:rsid w:val="00521216"/>
    <w:rsid w:val="00545FF1"/>
    <w:rsid w:val="005C78AC"/>
    <w:rsid w:val="00632323"/>
    <w:rsid w:val="00677299"/>
    <w:rsid w:val="00691BAE"/>
    <w:rsid w:val="006930DD"/>
    <w:rsid w:val="006D0045"/>
    <w:rsid w:val="007111F2"/>
    <w:rsid w:val="0071686D"/>
    <w:rsid w:val="0072181C"/>
    <w:rsid w:val="00731272"/>
    <w:rsid w:val="007840E6"/>
    <w:rsid w:val="007B08AF"/>
    <w:rsid w:val="00856039"/>
    <w:rsid w:val="00872410"/>
    <w:rsid w:val="00877276"/>
    <w:rsid w:val="008B19D9"/>
    <w:rsid w:val="00942A2B"/>
    <w:rsid w:val="009749C5"/>
    <w:rsid w:val="009A1407"/>
    <w:rsid w:val="00A31D17"/>
    <w:rsid w:val="00A52613"/>
    <w:rsid w:val="00A571D1"/>
    <w:rsid w:val="00AD62A2"/>
    <w:rsid w:val="00AF2892"/>
    <w:rsid w:val="00B04675"/>
    <w:rsid w:val="00B53E4C"/>
    <w:rsid w:val="00B629D0"/>
    <w:rsid w:val="00BB27E7"/>
    <w:rsid w:val="00BC3C5B"/>
    <w:rsid w:val="00BF1DCA"/>
    <w:rsid w:val="00C55CF0"/>
    <w:rsid w:val="00CD6C67"/>
    <w:rsid w:val="00D263C4"/>
    <w:rsid w:val="00D43A51"/>
    <w:rsid w:val="00DC75D8"/>
    <w:rsid w:val="00DE1BC2"/>
    <w:rsid w:val="00E03E73"/>
    <w:rsid w:val="00E4440B"/>
    <w:rsid w:val="00E56913"/>
    <w:rsid w:val="00E961B8"/>
    <w:rsid w:val="00FC1171"/>
    <w:rsid w:val="00FC510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7A91711"/>
  <w15:docId w15:val="{EDF0678D-00DE-4FC7-BED0-64B4A1E38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276"/>
    <w:pPr>
      <w:spacing w:after="210" w:line="266" w:lineRule="auto"/>
      <w:ind w:left="10" w:hanging="10"/>
      <w:jc w:val="both"/>
    </w:pPr>
    <w:rPr>
      <w:rFonts w:ascii="Arial" w:eastAsia="Arial" w:hAnsi="Arial" w:cs="Arial"/>
      <w:color w:val="000000"/>
    </w:rPr>
  </w:style>
  <w:style w:type="paragraph" w:styleId="Heading1">
    <w:name w:val="heading 1"/>
    <w:next w:val="Normal"/>
    <w:link w:val="Heading1Char"/>
    <w:uiPriority w:val="9"/>
    <w:qFormat/>
    <w:rsid w:val="00877276"/>
    <w:pPr>
      <w:keepNext/>
      <w:keepLines/>
      <w:spacing w:after="0" w:line="276" w:lineRule="auto"/>
      <w:ind w:left="11" w:hanging="11"/>
      <w:jc w:val="both"/>
      <w:outlineLvl w:val="0"/>
    </w:pPr>
    <w:rPr>
      <w:rFonts w:ascii="Arial" w:eastAsia="Arial" w:hAnsi="Arial" w:cs="Arial"/>
      <w:b/>
      <w:sz w:val="32"/>
    </w:rPr>
  </w:style>
  <w:style w:type="paragraph" w:styleId="Heading2">
    <w:name w:val="heading 2"/>
    <w:basedOn w:val="Normal"/>
    <w:next w:val="Normal"/>
    <w:link w:val="Heading2Char"/>
    <w:uiPriority w:val="9"/>
    <w:qFormat/>
    <w:rsid w:val="00877276"/>
    <w:pPr>
      <w:keepNext/>
      <w:keepLines/>
      <w:spacing w:after="0" w:line="276" w:lineRule="auto"/>
      <w:ind w:left="11" w:hanging="11"/>
      <w:outlineLvl w:val="1"/>
    </w:pPr>
    <w:rPr>
      <w:rFonts w:eastAsiaTheme="majorEastAsia" w:cstheme="majorBidi"/>
      <w:b/>
      <w:color w:val="auto"/>
      <w:sz w:val="28"/>
      <w:szCs w:val="26"/>
    </w:rPr>
  </w:style>
  <w:style w:type="paragraph" w:styleId="Heading3">
    <w:name w:val="heading 3"/>
    <w:basedOn w:val="Normal"/>
    <w:next w:val="Normal"/>
    <w:link w:val="Heading3Char"/>
    <w:uiPriority w:val="9"/>
    <w:qFormat/>
    <w:rsid w:val="00677299"/>
    <w:pPr>
      <w:keepNext/>
      <w:keepLines/>
      <w:spacing w:after="0" w:line="276" w:lineRule="auto"/>
      <w:ind w:left="11" w:hanging="11"/>
      <w:outlineLvl w:val="2"/>
    </w:pPr>
    <w:rPr>
      <w:rFonts w:eastAsiaTheme="majorEastAsia" w:cstheme="majorBidi"/>
      <w:b/>
      <w:color w:val="auto"/>
      <w:sz w:val="24"/>
      <w:szCs w:val="24"/>
    </w:rPr>
  </w:style>
  <w:style w:type="paragraph" w:styleId="Heading4">
    <w:name w:val="heading 4"/>
    <w:basedOn w:val="Normal"/>
    <w:next w:val="Normal"/>
    <w:link w:val="Heading4Char"/>
    <w:uiPriority w:val="9"/>
    <w:unhideWhenUsed/>
    <w:qFormat/>
    <w:rsid w:val="00677299"/>
    <w:pPr>
      <w:keepNext/>
      <w:keepLines/>
      <w:spacing w:before="120" w:after="0" w:line="276" w:lineRule="auto"/>
      <w:ind w:left="11" w:hanging="11"/>
      <w:outlineLvl w:val="3"/>
    </w:pPr>
    <w:rPr>
      <w:rFonts w:eastAsiaTheme="majorEastAsia" w:cstheme="majorBidi"/>
      <w:b/>
      <w:iCs/>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77276"/>
    <w:rPr>
      <w:rFonts w:ascii="Arial" w:eastAsia="Arial" w:hAnsi="Arial" w:cs="Arial"/>
      <w:b/>
      <w:sz w:val="32"/>
    </w:rPr>
  </w:style>
  <w:style w:type="paragraph" w:styleId="Header">
    <w:name w:val="header"/>
    <w:basedOn w:val="Normal"/>
    <w:link w:val="HeaderChar"/>
    <w:uiPriority w:val="99"/>
    <w:unhideWhenUsed/>
    <w:rsid w:val="00D263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63C4"/>
    <w:rPr>
      <w:rFonts w:ascii="Arial" w:eastAsia="Arial" w:hAnsi="Arial" w:cs="Arial"/>
      <w:color w:val="000000"/>
    </w:rPr>
  </w:style>
  <w:style w:type="paragraph" w:styleId="Footer">
    <w:name w:val="footer"/>
    <w:basedOn w:val="Normal"/>
    <w:link w:val="FooterChar"/>
    <w:uiPriority w:val="99"/>
    <w:unhideWhenUsed/>
    <w:rsid w:val="00D263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63C4"/>
    <w:rPr>
      <w:rFonts w:ascii="Arial" w:eastAsia="Arial" w:hAnsi="Arial" w:cs="Arial"/>
      <w:color w:val="000000"/>
    </w:rPr>
  </w:style>
  <w:style w:type="paragraph" w:styleId="ListParagraph">
    <w:name w:val="List Paragraph"/>
    <w:basedOn w:val="Normal"/>
    <w:uiPriority w:val="34"/>
    <w:qFormat/>
    <w:rsid w:val="00D263C4"/>
    <w:pPr>
      <w:ind w:left="720"/>
      <w:contextualSpacing/>
    </w:pPr>
  </w:style>
  <w:style w:type="paragraph" w:styleId="BalloonText">
    <w:name w:val="Balloon Text"/>
    <w:basedOn w:val="Normal"/>
    <w:link w:val="BalloonTextChar"/>
    <w:uiPriority w:val="99"/>
    <w:semiHidden/>
    <w:unhideWhenUsed/>
    <w:rsid w:val="00D43A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A51"/>
    <w:rPr>
      <w:rFonts w:ascii="Segoe UI" w:eastAsia="Arial" w:hAnsi="Segoe UI" w:cs="Segoe UI"/>
      <w:color w:val="000000"/>
      <w:sz w:val="18"/>
      <w:szCs w:val="18"/>
    </w:rPr>
  </w:style>
  <w:style w:type="character" w:styleId="CommentReference">
    <w:name w:val="annotation reference"/>
    <w:basedOn w:val="DefaultParagraphFont"/>
    <w:uiPriority w:val="99"/>
    <w:semiHidden/>
    <w:unhideWhenUsed/>
    <w:rsid w:val="00E03E73"/>
    <w:rPr>
      <w:sz w:val="16"/>
      <w:szCs w:val="16"/>
    </w:rPr>
  </w:style>
  <w:style w:type="paragraph" w:styleId="CommentText">
    <w:name w:val="annotation text"/>
    <w:basedOn w:val="Normal"/>
    <w:link w:val="CommentTextChar"/>
    <w:uiPriority w:val="99"/>
    <w:semiHidden/>
    <w:unhideWhenUsed/>
    <w:rsid w:val="00E03E73"/>
    <w:pPr>
      <w:spacing w:line="240" w:lineRule="auto"/>
    </w:pPr>
    <w:rPr>
      <w:sz w:val="20"/>
      <w:szCs w:val="20"/>
    </w:rPr>
  </w:style>
  <w:style w:type="character" w:customStyle="1" w:styleId="CommentTextChar">
    <w:name w:val="Comment Text Char"/>
    <w:basedOn w:val="DefaultParagraphFont"/>
    <w:link w:val="CommentText"/>
    <w:uiPriority w:val="99"/>
    <w:semiHidden/>
    <w:rsid w:val="00E03E73"/>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E03E73"/>
    <w:rPr>
      <w:b/>
      <w:bCs/>
    </w:rPr>
  </w:style>
  <w:style w:type="character" w:customStyle="1" w:styleId="CommentSubjectChar">
    <w:name w:val="Comment Subject Char"/>
    <w:basedOn w:val="CommentTextChar"/>
    <w:link w:val="CommentSubject"/>
    <w:uiPriority w:val="99"/>
    <w:semiHidden/>
    <w:rsid w:val="00E03E73"/>
    <w:rPr>
      <w:rFonts w:ascii="Arial" w:eastAsia="Arial" w:hAnsi="Arial" w:cs="Arial"/>
      <w:b/>
      <w:bCs/>
      <w:color w:val="000000"/>
      <w:sz w:val="20"/>
      <w:szCs w:val="20"/>
    </w:rPr>
  </w:style>
  <w:style w:type="paragraph" w:styleId="Revision">
    <w:name w:val="Revision"/>
    <w:hidden/>
    <w:uiPriority w:val="99"/>
    <w:semiHidden/>
    <w:rsid w:val="00E03E73"/>
    <w:pPr>
      <w:spacing w:after="0" w:line="240" w:lineRule="auto"/>
    </w:pPr>
    <w:rPr>
      <w:rFonts w:ascii="Arial" w:eastAsia="Arial" w:hAnsi="Arial" w:cs="Arial"/>
      <w:color w:val="000000"/>
    </w:rPr>
  </w:style>
  <w:style w:type="character" w:styleId="Hyperlink">
    <w:name w:val="Hyperlink"/>
    <w:basedOn w:val="DefaultParagraphFont"/>
    <w:uiPriority w:val="99"/>
    <w:unhideWhenUsed/>
    <w:rsid w:val="00C55CF0"/>
    <w:rPr>
      <w:color w:val="0563C1" w:themeColor="hyperlink"/>
      <w:u w:val="single"/>
    </w:rPr>
  </w:style>
  <w:style w:type="character" w:styleId="FollowedHyperlink">
    <w:name w:val="FollowedHyperlink"/>
    <w:basedOn w:val="DefaultParagraphFont"/>
    <w:uiPriority w:val="99"/>
    <w:semiHidden/>
    <w:unhideWhenUsed/>
    <w:rsid w:val="006930DD"/>
    <w:rPr>
      <w:color w:val="954F72" w:themeColor="followedHyperlink"/>
      <w:u w:val="single"/>
    </w:rPr>
  </w:style>
  <w:style w:type="table" w:styleId="TableGrid">
    <w:name w:val="Table Grid"/>
    <w:basedOn w:val="TableNormal"/>
    <w:uiPriority w:val="39"/>
    <w:rsid w:val="007B0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77276"/>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77299"/>
    <w:rPr>
      <w:rFonts w:ascii="Arial" w:eastAsiaTheme="majorEastAsia" w:hAnsi="Arial" w:cstheme="majorBidi"/>
      <w:b/>
      <w:sz w:val="24"/>
      <w:szCs w:val="24"/>
    </w:rPr>
  </w:style>
  <w:style w:type="character" w:styleId="UnresolvedMention">
    <w:name w:val="Unresolved Mention"/>
    <w:basedOn w:val="DefaultParagraphFont"/>
    <w:uiPriority w:val="99"/>
    <w:semiHidden/>
    <w:unhideWhenUsed/>
    <w:rsid w:val="00A571D1"/>
    <w:rPr>
      <w:color w:val="605E5C"/>
      <w:shd w:val="clear" w:color="auto" w:fill="E1DFDD"/>
    </w:rPr>
  </w:style>
  <w:style w:type="character" w:customStyle="1" w:styleId="Heading4Char">
    <w:name w:val="Heading 4 Char"/>
    <w:basedOn w:val="DefaultParagraphFont"/>
    <w:link w:val="Heading4"/>
    <w:uiPriority w:val="9"/>
    <w:rsid w:val="00677299"/>
    <w:rPr>
      <w:rFonts w:ascii="Arial" w:eastAsiaTheme="majorEastAsia" w:hAnsi="Arial" w:cstheme="majorBidi"/>
      <w:b/>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venue.ie/en/tax-professionals/tdm/pensions/index.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C73A2-E127-41F7-B38C-E72D4BB75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739</Words>
  <Characters>4217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Pensions Authority</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anugent</dc:creator>
  <cp:keywords/>
  <cp:lastModifiedBy>Aideen Bugler (Pensions Authority)</cp:lastModifiedBy>
  <cp:revision>3</cp:revision>
  <cp:lastPrinted>2023-06-22T15:53:00Z</cp:lastPrinted>
  <dcterms:created xsi:type="dcterms:W3CDTF">2026-04-22T14:34:00Z</dcterms:created>
  <dcterms:modified xsi:type="dcterms:W3CDTF">2026-04-22T14:36:00Z</dcterms:modified>
</cp:coreProperties>
</file>