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E906" w14:textId="77777777" w:rsidR="00D03FAA" w:rsidRPr="00BB4062" w:rsidRDefault="00D03FAA" w:rsidP="00D03FAA">
      <w:pPr>
        <w:tabs>
          <w:tab w:val="left" w:pos="2280"/>
        </w:tabs>
        <w:spacing w:after="240" w:line="276" w:lineRule="auto"/>
        <w:rPr>
          <w:rFonts w:cs="Arial"/>
        </w:rPr>
      </w:pPr>
      <w:bookmarkStart w:id="0" w:name="_Toc147833569"/>
      <w:bookmarkStart w:id="1" w:name="_Toc147833266"/>
    </w:p>
    <w:p w14:paraId="74F35FFF" w14:textId="77777777" w:rsidR="00D03FAA" w:rsidRPr="00BB4062" w:rsidRDefault="00D03FAA" w:rsidP="00D03FAA">
      <w:pPr>
        <w:spacing w:after="240" w:line="276" w:lineRule="auto"/>
        <w:ind w:left="357"/>
        <w:jc w:val="both"/>
        <w:rPr>
          <w:rFonts w:cs="Arial"/>
        </w:rPr>
      </w:pPr>
      <w:r w:rsidRPr="00BB4062">
        <w:rPr>
          <w:rFonts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9365E" wp14:editId="29678A3E">
                <wp:simplePos x="0" y="0"/>
                <wp:positionH relativeFrom="column">
                  <wp:posOffset>-640081</wp:posOffset>
                </wp:positionH>
                <wp:positionV relativeFrom="paragraph">
                  <wp:posOffset>462280</wp:posOffset>
                </wp:positionV>
                <wp:extent cx="7286625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2866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E369A" w14:textId="77777777" w:rsidR="00D03FAA" w:rsidRPr="004A133E" w:rsidRDefault="00D03FAA" w:rsidP="00D03FAA">
                            <w:pPr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93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4pt;margin-top:36.4pt;width:573.75pt;height:2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sAaQIAAD4FAAAOAAAAZHJzL2Uyb0RvYy54bWysVE1PGzEQvVfqf7B8L5uEAGnEBqUgqkoI&#10;UKHl7HjtxKrX49qT7IZf37F3E1LaC1Uv1njmzXg+3vj8oq0t26gQDbiSD48GnCknoTJuWfJvj9cf&#10;JpxFFK4SFpwq+VZFfjF7/+688VM1ghXYSgVGQVycNr7kK0Q/LYooV6oW8Qi8cmTUEGqBdA3Logqi&#10;oei1LUaDwWnRQKh8AKliJO1VZ+SzHF9rJfFO66iQ2ZJTbpjPkM9FOovZuZgug/ArI/s0xD9kUQvj&#10;6NF9qCuBgq2D+SNUbWSACBqPJNQFaG2kyjVQNcPBq2oeVsKrXAs1J/p9m+L/CytvNw/+PjBsP0FL&#10;A0wNaXycRlKmelodaqat8d+TMWkoZ0ZIauZ230DVIpOkPBtNTk9HJ5xJsh2PjicnucNFFyd5+xDx&#10;s4KaJaHkgQaUo4rNTUR6m6A7SII7uDbW5iFZ95uCgJ1G5Sn33i+pZwm3ViUv674qzUyV806KzC91&#10;aQPbCGKGkFI5zMXnuIROKE1vv8WxxyfXLqu3OO898svgcO9cGwchd+lV2tWPXcq6w1P/DupOIraL&#10;th/pAqotTTpAtwTRy2tDQ7gREe9FINbTSGmT8Y4ObaEpOfQSZysIz3/TJzyRkaycNbRFJY8/1yIo&#10;zuwXRzT9OByP09rly/jkbESXcGhZHFrcur4EGseQ/gwvs5jwaHeiDlA/0cLP06tkEk7S2yXHnXiJ&#10;3W7ThyHVfJ5BtGhe4I178HLH4USxx/ZJBN/zEInBt7DbNzF9RccOmwbjYL5G0CZzNTW462rfeFrS&#10;TOH+Q0m/wOE9o16+vdkvAAAA//8DAFBLAwQUAAYACAAAACEAyUxcXeMAAAAMAQAADwAAAGRycy9k&#10;b3ducmV2LnhtbEyPwW7CMBBE75X6D9Yi9QY2KSUoxEFVpUo9pBWklejRxCaJsNdRbCD9+y6n9rQ7&#10;2tHM23wzOssuZgidRwnzmQBmsPa6w0bC1+frdAUsRIVaWY9Gwo8JsCnu73KVaX/FnblUsWEUgiFT&#10;EtoY+4zzULfGqTDzvUG6Hf3gVCQ5NFwP6krhzvJEiCV3qkNqaFVvXlpTn6qzk6DL/f4pPfXlrv1e&#10;HN/shy6r7buUD5PxeQ0smjH+meGGT+hQENPBn1EHZiVM50IQe5SQJjRvDrFYpsAOtCWPK+BFzv8/&#10;UfwCAAD//wMAUEsBAi0AFAAGAAgAAAAhALaDOJL+AAAA4QEAABMAAAAAAAAAAAAAAAAAAAAAAFtD&#10;b250ZW50X1R5cGVzXS54bWxQSwECLQAUAAYACAAAACEAOP0h/9YAAACUAQAACwAAAAAAAAAAAAAA&#10;AAAvAQAAX3JlbHMvLnJlbHNQSwECLQAUAAYACAAAACEAx377AGkCAAA+BQAADgAAAAAAAAAAAAAA&#10;AAAuAgAAZHJzL2Uyb0RvYy54bWxQSwECLQAUAAYACAAAACEAyUxcXeMAAAAMAQAADwAAAAAAAAAA&#10;AAAAAADDBAAAZHJzL2Rvd25yZXYueG1sUEsFBgAAAAAEAAQA8wAAANMFAAAAAA==&#10;" filled="f" stroked="f">
                <v:textbox>
                  <w:txbxContent>
                    <w:p w14:paraId="4EFE369A" w14:textId="77777777" w:rsidR="00D03FAA" w:rsidRPr="004A133E" w:rsidRDefault="00D03FAA" w:rsidP="00D03FAA">
                      <w:pPr>
                        <w:rPr>
                          <w:rFonts w:cs="Arial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6AB27" w14:textId="77777777" w:rsidR="00D03FAA" w:rsidRDefault="00D03FAA" w:rsidP="00D03FAA">
      <w:pPr>
        <w:spacing w:after="240" w:line="276" w:lineRule="auto"/>
        <w:rPr>
          <w:rFonts w:ascii="Helvetica" w:hAnsi="Helvetica"/>
          <w:sz w:val="72"/>
          <w:szCs w:val="72"/>
        </w:rPr>
      </w:pPr>
    </w:p>
    <w:p w14:paraId="75D0D832" w14:textId="77777777" w:rsidR="00D03FAA" w:rsidRPr="007D6CFF" w:rsidRDefault="00D03FAA" w:rsidP="00D03FAA">
      <w:pPr>
        <w:spacing w:after="240" w:line="276" w:lineRule="auto"/>
        <w:rPr>
          <w:rFonts w:ascii="Helvetica" w:hAnsi="Helvetica"/>
          <w:sz w:val="72"/>
          <w:szCs w:val="72"/>
        </w:rPr>
      </w:pPr>
    </w:p>
    <w:p w14:paraId="6802FEFB" w14:textId="77777777" w:rsidR="00D03FAA" w:rsidRDefault="00D03FAA" w:rsidP="00D03FAA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14:paraId="55FCD719" w14:textId="4F823D9E" w:rsidR="00D03FAA" w:rsidRPr="007D6CFF" w:rsidRDefault="00D03FAA" w:rsidP="00D03FAA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  <w:lang w:val="en-US"/>
        </w:rPr>
        <w:t>Investment strategy (liquidity risk)</w:t>
      </w:r>
    </w:p>
    <w:p w14:paraId="5FD4B3D8" w14:textId="77777777" w:rsidR="00D03FAA" w:rsidRPr="007D6CFF" w:rsidRDefault="00D03FAA" w:rsidP="00D03FAA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g</w:t>
      </w:r>
      <w:r w:rsidRPr="007D6CFF">
        <w:rPr>
          <w:rFonts w:cs="Arial"/>
          <w:b/>
          <w:bCs/>
          <w:sz w:val="48"/>
          <w:szCs w:val="48"/>
        </w:rPr>
        <w:t>uidance</w:t>
      </w:r>
      <w:r>
        <w:rPr>
          <w:rFonts w:cs="Arial"/>
          <w:b/>
          <w:bCs/>
          <w:sz w:val="48"/>
          <w:szCs w:val="48"/>
        </w:rPr>
        <w:t xml:space="preserve"> </w:t>
      </w:r>
      <w:r w:rsidRPr="007D6CFF">
        <w:rPr>
          <w:rFonts w:cs="Arial"/>
          <w:b/>
          <w:bCs/>
          <w:sz w:val="48"/>
          <w:szCs w:val="48"/>
        </w:rPr>
        <w:t>for trustees</w:t>
      </w:r>
    </w:p>
    <w:p w14:paraId="7E045688" w14:textId="77777777" w:rsidR="00D03FAA" w:rsidRDefault="00D03FAA" w:rsidP="00D03FAA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0778A349" w14:textId="77777777" w:rsidR="00D03FAA" w:rsidRDefault="00D03FAA" w:rsidP="00D03FAA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3A1CCF02" w14:textId="77777777" w:rsidR="00D03FAA" w:rsidRDefault="00D03FAA" w:rsidP="00D03FAA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7E3E4EFF" w14:textId="77777777" w:rsidR="00D03FAA" w:rsidRDefault="00D03FAA" w:rsidP="00D03FAA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D03FAA" w14:paraId="793798FE" w14:textId="77777777" w:rsidTr="000F3C5D"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99395" w14:textId="77777777" w:rsidR="00D03FAA" w:rsidRDefault="00D03FAA" w:rsidP="000F3C5D">
            <w:pPr>
              <w:spacing w:line="276" w:lineRule="auto"/>
              <w:ind w:left="164" w:right="169"/>
              <w:jc w:val="both"/>
              <w:rPr>
                <w:rFonts w:cs="Arial"/>
                <w:b/>
                <w:iCs/>
              </w:rPr>
            </w:pPr>
          </w:p>
          <w:p w14:paraId="684F9A36" w14:textId="77777777" w:rsidR="00D03FAA" w:rsidRPr="00535A3C" w:rsidRDefault="00D03FAA" w:rsidP="000F3C5D">
            <w:pPr>
              <w:spacing w:line="276" w:lineRule="auto"/>
              <w:ind w:left="164" w:right="169"/>
              <w:jc w:val="both"/>
              <w:rPr>
                <w:rFonts w:cs="Arial"/>
                <w:b/>
                <w:iCs/>
              </w:rPr>
            </w:pPr>
            <w:r w:rsidRPr="00535A3C">
              <w:rPr>
                <w:rFonts w:cs="Arial"/>
                <w:b/>
                <w:iCs/>
              </w:rPr>
              <w:t>Disclaimer</w:t>
            </w:r>
          </w:p>
          <w:p w14:paraId="50DBF6B6" w14:textId="77777777" w:rsidR="00D03FAA" w:rsidRDefault="00D03FAA" w:rsidP="000F3C5D">
            <w:pPr>
              <w:spacing w:line="276" w:lineRule="auto"/>
              <w:ind w:left="164" w:right="169"/>
              <w:jc w:val="both"/>
              <w:rPr>
                <w:rFonts w:cs="Arial"/>
                <w:iCs/>
              </w:rPr>
            </w:pPr>
          </w:p>
          <w:p w14:paraId="21948FF1" w14:textId="2DE38036" w:rsidR="00D03FAA" w:rsidRDefault="00D03FAA" w:rsidP="000F3C5D">
            <w:pPr>
              <w:spacing w:line="276" w:lineRule="auto"/>
              <w:ind w:left="164" w:right="169"/>
              <w:jc w:val="both"/>
              <w:rPr>
                <w:rFonts w:cs="Arial"/>
                <w:iCs/>
              </w:rPr>
            </w:pPr>
            <w:r w:rsidRPr="008E145F">
              <w:rPr>
                <w:rFonts w:cs="Arial"/>
                <w:iCs/>
              </w:rPr>
              <w:t>The Pensions Authority ha</w:t>
            </w:r>
            <w:r>
              <w:rPr>
                <w:rFonts w:cs="Arial"/>
                <w:iCs/>
              </w:rPr>
              <w:t>s</w:t>
            </w:r>
            <w:r w:rsidRPr="008E145F">
              <w:rPr>
                <w:rFonts w:cs="Arial"/>
                <w:iCs/>
              </w:rPr>
              <w:t xml:space="preserve"> made every effort to ensure that this </w:t>
            </w:r>
            <w:r>
              <w:rPr>
                <w:rFonts w:cs="Arial"/>
                <w:iCs/>
              </w:rPr>
              <w:t xml:space="preserve">document </w:t>
            </w:r>
            <w:r w:rsidRPr="008E145F">
              <w:rPr>
                <w:rFonts w:cs="Arial"/>
                <w:iCs/>
              </w:rPr>
              <w:t xml:space="preserve">is correct. However, no liability whatsoever is accepted by the Pensions Authority, its servants or agents for any errors or omissions in the information contained in this </w:t>
            </w:r>
            <w:r>
              <w:rPr>
                <w:rFonts w:cs="Arial"/>
                <w:iCs/>
              </w:rPr>
              <w:t>document</w:t>
            </w:r>
            <w:r w:rsidRPr="008E145F">
              <w:rPr>
                <w:rFonts w:cs="Arial"/>
                <w:iCs/>
              </w:rPr>
              <w:t xml:space="preserve"> or for any loss occasioned to any person acting or refraining from acting as a result of the information in this </w:t>
            </w:r>
            <w:r>
              <w:rPr>
                <w:rFonts w:cs="Arial"/>
                <w:iCs/>
              </w:rPr>
              <w:t>document</w:t>
            </w:r>
            <w:r w:rsidRPr="008E145F">
              <w:rPr>
                <w:rFonts w:cs="Arial"/>
                <w:iCs/>
              </w:rPr>
              <w:t>.</w:t>
            </w:r>
          </w:p>
          <w:p w14:paraId="5B62D2A3" w14:textId="77777777" w:rsidR="00D03FAA" w:rsidRPr="005A028D" w:rsidRDefault="00D03FAA" w:rsidP="000F3C5D">
            <w:pPr>
              <w:spacing w:line="276" w:lineRule="auto"/>
              <w:ind w:left="164" w:right="169"/>
              <w:jc w:val="both"/>
              <w:rPr>
                <w:rFonts w:cs="Arial"/>
              </w:rPr>
            </w:pPr>
          </w:p>
        </w:tc>
      </w:tr>
    </w:tbl>
    <w:p w14:paraId="64F54A0C" w14:textId="77777777" w:rsidR="00D03FAA" w:rsidRDefault="00D03FAA" w:rsidP="00D03FAA">
      <w:pPr>
        <w:spacing w:after="240" w:line="276" w:lineRule="auto"/>
        <w:jc w:val="both"/>
        <w:rPr>
          <w:rFonts w:cs="Arial"/>
          <w:b/>
          <w:bCs/>
          <w:sz w:val="28"/>
          <w:szCs w:val="28"/>
        </w:rPr>
        <w:sectPr w:rsidR="00D03FAA" w:rsidSect="00680AE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1269F47" w14:textId="77777777" w:rsidR="00D03FAA" w:rsidRPr="00BC14ED" w:rsidRDefault="00D03FAA" w:rsidP="008A59EF">
      <w:pPr>
        <w:pStyle w:val="Heading3"/>
        <w:spacing w:before="0" w:line="276" w:lineRule="auto"/>
      </w:pPr>
      <w:bookmarkStart w:id="2" w:name="_Toc147833264"/>
      <w:bookmarkStart w:id="3" w:name="_Toc147833567"/>
      <w:r w:rsidRPr="00BC14ED">
        <w:lastRenderedPageBreak/>
        <w:t>Introduction</w:t>
      </w:r>
      <w:bookmarkEnd w:id="2"/>
      <w:bookmarkEnd w:id="3"/>
    </w:p>
    <w:p w14:paraId="31E4695F" w14:textId="07490D3D" w:rsidR="00625B60" w:rsidRDefault="000446B2" w:rsidP="008A59EF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 xml:space="preserve">This guidance </w:t>
      </w:r>
      <w:r w:rsidR="00F63E6D">
        <w:rPr>
          <w:rFonts w:eastAsia="Times New Roman" w:cs="Arial"/>
          <w:lang w:val="en-GB" w:eastAsia="en-GB"/>
        </w:rPr>
        <w:t>concerns</w:t>
      </w:r>
      <w:r w:rsidR="00690404">
        <w:rPr>
          <w:rFonts w:eastAsia="Times New Roman" w:cs="Arial"/>
          <w:lang w:val="en-GB" w:eastAsia="en-GB"/>
        </w:rPr>
        <w:t xml:space="preserve"> </w:t>
      </w:r>
      <w:r w:rsidR="00645BA4">
        <w:rPr>
          <w:rFonts w:eastAsia="Times New Roman" w:cs="Arial"/>
          <w:lang w:val="en-GB" w:eastAsia="en-GB"/>
        </w:rPr>
        <w:t xml:space="preserve">investment strategies </w:t>
      </w:r>
      <w:r w:rsidR="00F7300B">
        <w:rPr>
          <w:rFonts w:eastAsia="Times New Roman" w:cs="Arial"/>
          <w:lang w:val="en-GB" w:eastAsia="en-GB"/>
        </w:rPr>
        <w:t>that may give rise to</w:t>
      </w:r>
      <w:r w:rsidR="00645BA4">
        <w:rPr>
          <w:rFonts w:eastAsia="Times New Roman" w:cs="Arial"/>
          <w:lang w:val="en-GB" w:eastAsia="en-GB"/>
        </w:rPr>
        <w:t xml:space="preserve"> </w:t>
      </w:r>
      <w:r w:rsidR="00F63E6D">
        <w:rPr>
          <w:rFonts w:eastAsia="Times New Roman" w:cs="Arial"/>
          <w:lang w:val="en-GB" w:eastAsia="en-GB"/>
        </w:rPr>
        <w:t xml:space="preserve">significant </w:t>
      </w:r>
      <w:r>
        <w:rPr>
          <w:rFonts w:eastAsia="Times New Roman" w:cs="Arial"/>
          <w:lang w:val="en-GB" w:eastAsia="en-GB"/>
        </w:rPr>
        <w:t>liquidity risk</w:t>
      </w:r>
      <w:r w:rsidR="00690404">
        <w:rPr>
          <w:rFonts w:eastAsia="Times New Roman" w:cs="Arial"/>
          <w:lang w:val="en-GB" w:eastAsia="en-GB"/>
        </w:rPr>
        <w:t>s</w:t>
      </w:r>
      <w:r w:rsidR="00F63E6D">
        <w:rPr>
          <w:rFonts w:eastAsia="Times New Roman" w:cs="Arial"/>
          <w:lang w:val="en-GB" w:eastAsia="en-GB"/>
        </w:rPr>
        <w:t>.</w:t>
      </w:r>
    </w:p>
    <w:p w14:paraId="150812D2" w14:textId="7D79CF6A" w:rsidR="000446B2" w:rsidRDefault="00690404" w:rsidP="008A59EF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 xml:space="preserve">Strategies that may give rise to such liquidity risks include </w:t>
      </w:r>
      <w:r w:rsidR="000446B2">
        <w:rPr>
          <w:rFonts w:eastAsia="Times New Roman" w:cs="Arial"/>
          <w:lang w:val="en-GB" w:eastAsia="en-GB"/>
        </w:rPr>
        <w:t xml:space="preserve">Liability Driven Investment </w:t>
      </w:r>
      <w:r w:rsidR="00645BA4">
        <w:rPr>
          <w:rFonts w:eastAsia="Times New Roman" w:cs="Arial"/>
          <w:lang w:val="en-GB" w:eastAsia="en-GB"/>
        </w:rPr>
        <w:t>(</w:t>
      </w:r>
      <w:r w:rsidR="000446B2">
        <w:rPr>
          <w:rFonts w:eastAsia="Times New Roman" w:cs="Arial"/>
          <w:lang w:val="en-GB" w:eastAsia="en-GB"/>
        </w:rPr>
        <w:t>LDI</w:t>
      </w:r>
      <w:r w:rsidR="00645BA4">
        <w:rPr>
          <w:rFonts w:eastAsia="Times New Roman" w:cs="Arial"/>
          <w:lang w:val="en-GB" w:eastAsia="en-GB"/>
        </w:rPr>
        <w:t>)</w:t>
      </w:r>
      <w:r>
        <w:rPr>
          <w:rFonts w:eastAsia="Times New Roman" w:cs="Arial"/>
          <w:lang w:val="en-GB" w:eastAsia="en-GB"/>
        </w:rPr>
        <w:t xml:space="preserve">, </w:t>
      </w:r>
      <w:r w:rsidR="00645BA4">
        <w:rPr>
          <w:rFonts w:eastAsia="Times New Roman" w:cs="Arial"/>
          <w:lang w:val="en-GB" w:eastAsia="en-GB"/>
        </w:rPr>
        <w:t>leveraged LDI</w:t>
      </w:r>
      <w:r w:rsidR="00F63E6D">
        <w:rPr>
          <w:rFonts w:eastAsia="Times New Roman" w:cs="Arial"/>
          <w:lang w:val="en-GB" w:eastAsia="en-GB"/>
        </w:rPr>
        <w:t xml:space="preserve">, sale and repurchase agreements (repos), </w:t>
      </w:r>
      <w:r w:rsidR="007F40FA">
        <w:rPr>
          <w:rFonts w:eastAsia="Times New Roman" w:cs="Arial"/>
          <w:lang w:val="en-GB" w:eastAsia="en-GB"/>
        </w:rPr>
        <w:t xml:space="preserve">swaps, </w:t>
      </w:r>
      <w:r w:rsidR="00F63E6D">
        <w:rPr>
          <w:rFonts w:eastAsia="Times New Roman" w:cs="Arial"/>
          <w:lang w:val="en-GB" w:eastAsia="en-GB"/>
        </w:rPr>
        <w:t xml:space="preserve">currency </w:t>
      </w:r>
      <w:r w:rsidR="00A77FA3">
        <w:rPr>
          <w:rFonts w:eastAsia="Times New Roman" w:cs="Arial"/>
          <w:lang w:val="en-GB" w:eastAsia="en-GB"/>
        </w:rPr>
        <w:t xml:space="preserve">hedging </w:t>
      </w:r>
      <w:r w:rsidR="00F63E6D">
        <w:rPr>
          <w:rFonts w:eastAsia="Times New Roman" w:cs="Arial"/>
          <w:lang w:val="en-GB" w:eastAsia="en-GB"/>
        </w:rPr>
        <w:t>and inflation hedging.</w:t>
      </w:r>
    </w:p>
    <w:p w14:paraId="3283BE87" w14:textId="3EF52A8F" w:rsidR="00F63E6D" w:rsidRDefault="00F63E6D" w:rsidP="008A59EF">
      <w:pPr>
        <w:pStyle w:val="P1"/>
        <w:spacing w:line="276" w:lineRule="auto"/>
        <w:jc w:val="left"/>
        <w:rPr>
          <w:rFonts w:cs="Arial"/>
        </w:rPr>
      </w:pPr>
      <w:r>
        <w:rPr>
          <w:rFonts w:cs="Arial"/>
        </w:rPr>
        <w:t xml:space="preserve">The liquidity risks that may arise </w:t>
      </w:r>
      <w:r w:rsidR="00D03FAA">
        <w:rPr>
          <w:rFonts w:cs="Arial"/>
        </w:rPr>
        <w:t xml:space="preserve">from such strategies </w:t>
      </w:r>
      <w:r>
        <w:rPr>
          <w:rFonts w:cs="Arial"/>
        </w:rPr>
        <w:t xml:space="preserve">include the requirement, in certain market conditions, to urgently post collateral </w:t>
      </w:r>
      <w:r w:rsidR="00D03FAA">
        <w:rPr>
          <w:rFonts w:cs="Arial"/>
        </w:rPr>
        <w:t xml:space="preserve">so that </w:t>
      </w:r>
      <w:r>
        <w:rPr>
          <w:rFonts w:cs="Arial"/>
        </w:rPr>
        <w:t>a derivative or hedging exposure</w:t>
      </w:r>
      <w:r w:rsidR="00D03FAA">
        <w:rPr>
          <w:rFonts w:cs="Arial"/>
        </w:rPr>
        <w:t xml:space="preserve"> can be maintained</w:t>
      </w:r>
      <w:r>
        <w:rPr>
          <w:rFonts w:cs="Arial"/>
        </w:rPr>
        <w:t>.</w:t>
      </w:r>
    </w:p>
    <w:p w14:paraId="2DF7A418" w14:textId="1A5E670B" w:rsidR="005C1AC4" w:rsidRDefault="003C3D5D" w:rsidP="008A59EF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>Such strateg</w:t>
      </w:r>
      <w:r w:rsidR="00690404">
        <w:rPr>
          <w:rFonts w:eastAsia="Times New Roman" w:cs="Arial"/>
          <w:lang w:val="en-GB" w:eastAsia="en-GB"/>
        </w:rPr>
        <w:t>ies</w:t>
      </w:r>
      <w:r w:rsidR="005C1AC4">
        <w:rPr>
          <w:rFonts w:eastAsia="Times New Roman" w:cs="Arial"/>
          <w:lang w:val="en-GB" w:eastAsia="en-GB"/>
        </w:rPr>
        <w:t xml:space="preserve"> involve more complexity than traditional </w:t>
      </w:r>
      <w:r w:rsidR="00645BA4">
        <w:rPr>
          <w:rFonts w:eastAsia="Times New Roman" w:cs="Arial"/>
          <w:lang w:val="en-GB" w:eastAsia="en-GB"/>
        </w:rPr>
        <w:t xml:space="preserve">strategies </w:t>
      </w:r>
      <w:r w:rsidR="005C1AC4">
        <w:rPr>
          <w:lang w:val="en-US"/>
        </w:rPr>
        <w:t xml:space="preserve">and may </w:t>
      </w:r>
      <w:r w:rsidR="00690404">
        <w:rPr>
          <w:lang w:val="en-US"/>
        </w:rPr>
        <w:t>incur</w:t>
      </w:r>
      <w:r w:rsidR="005C1AC4">
        <w:rPr>
          <w:lang w:val="en-US"/>
        </w:rPr>
        <w:t xml:space="preserve"> losses requiring the liquidation of scheme assets</w:t>
      </w:r>
      <w:r w:rsidR="005C1AC4">
        <w:rPr>
          <w:rFonts w:eastAsia="Times New Roman" w:cs="Arial"/>
          <w:lang w:val="en-GB" w:eastAsia="en-GB"/>
        </w:rPr>
        <w:t>. Therefore, greater understanding and proactivity is required on the part of trustees in managing th</w:t>
      </w:r>
      <w:r w:rsidR="00F7300B">
        <w:rPr>
          <w:rFonts w:eastAsia="Times New Roman" w:cs="Arial"/>
          <w:lang w:val="en-GB" w:eastAsia="en-GB"/>
        </w:rPr>
        <w:t>e ri</w:t>
      </w:r>
      <w:r w:rsidR="006167F6">
        <w:rPr>
          <w:rFonts w:eastAsia="Times New Roman" w:cs="Arial"/>
          <w:lang w:val="en-GB" w:eastAsia="en-GB"/>
        </w:rPr>
        <w:t>s</w:t>
      </w:r>
      <w:r w:rsidR="00F7300B">
        <w:rPr>
          <w:rFonts w:eastAsia="Times New Roman" w:cs="Arial"/>
          <w:lang w:val="en-GB" w:eastAsia="en-GB"/>
        </w:rPr>
        <w:t>k.</w:t>
      </w:r>
    </w:p>
    <w:p w14:paraId="6C3E7E61" w14:textId="230D0E1C" w:rsidR="00F63E6D" w:rsidRDefault="00EE0D28" w:rsidP="008A59EF">
      <w:pPr>
        <w:kinsoku w:val="0"/>
        <w:overflowPunct w:val="0"/>
        <w:spacing w:after="240" w:line="276" w:lineRule="auto"/>
        <w:textAlignment w:val="baseline"/>
        <w:rPr>
          <w:lang w:val="en-US"/>
        </w:rPr>
      </w:pPr>
      <w:r>
        <w:rPr>
          <w:lang w:val="en-US"/>
        </w:rPr>
        <w:t>Th</w:t>
      </w:r>
      <w:r w:rsidR="00B334F9">
        <w:rPr>
          <w:lang w:val="en-US"/>
        </w:rPr>
        <w:t xml:space="preserve">is </w:t>
      </w:r>
      <w:r w:rsidR="00A347F3">
        <w:rPr>
          <w:lang w:val="en-US"/>
        </w:rPr>
        <w:t xml:space="preserve">guidance </w:t>
      </w:r>
      <w:r>
        <w:rPr>
          <w:lang w:val="en-US"/>
        </w:rPr>
        <w:t xml:space="preserve">note </w:t>
      </w:r>
      <w:r w:rsidR="003C3D5D">
        <w:rPr>
          <w:lang w:val="en-US"/>
        </w:rPr>
        <w:t xml:space="preserve">sets out </w:t>
      </w:r>
      <w:r>
        <w:rPr>
          <w:lang w:val="en-US"/>
        </w:rPr>
        <w:t>areas where</w:t>
      </w:r>
      <w:r w:rsidR="00030B57">
        <w:rPr>
          <w:lang w:val="en-US"/>
        </w:rPr>
        <w:t xml:space="preserve">, </w:t>
      </w:r>
      <w:r>
        <w:rPr>
          <w:lang w:val="en-US"/>
        </w:rPr>
        <w:t>in the</w:t>
      </w:r>
      <w:r w:rsidR="003C3D5D">
        <w:rPr>
          <w:lang w:val="en-US"/>
        </w:rPr>
        <w:t xml:space="preserve"> Pension Authority’s view</w:t>
      </w:r>
      <w:r w:rsidR="00030B57">
        <w:rPr>
          <w:lang w:val="en-US"/>
        </w:rPr>
        <w:t xml:space="preserve">, </w:t>
      </w:r>
      <w:r w:rsidR="00B334F9">
        <w:rPr>
          <w:lang w:val="en-US"/>
        </w:rPr>
        <w:t>special</w:t>
      </w:r>
      <w:r w:rsidR="00030B57">
        <w:rPr>
          <w:lang w:val="en-US"/>
        </w:rPr>
        <w:t xml:space="preserve"> attention is needed </w:t>
      </w:r>
      <w:r w:rsidR="00CD3EB0">
        <w:rPr>
          <w:lang w:val="en-US"/>
        </w:rPr>
        <w:t>to</w:t>
      </w:r>
      <w:r w:rsidR="00226CFB">
        <w:rPr>
          <w:lang w:val="en-US"/>
        </w:rPr>
        <w:t xml:space="preserve"> fulfill the requirements of</w:t>
      </w:r>
      <w:bookmarkEnd w:id="0"/>
      <w:bookmarkEnd w:id="1"/>
      <w:r w:rsidR="00F63E6D">
        <w:rPr>
          <w:rFonts w:cs="Arial"/>
        </w:rPr>
        <w:t xml:space="preserve"> </w:t>
      </w:r>
      <w:r w:rsidR="00F63E6D">
        <w:rPr>
          <w:lang w:val="en-US"/>
        </w:rPr>
        <w:t xml:space="preserve">the Authority’s Code of Practice for trustees (the Code). </w:t>
      </w:r>
    </w:p>
    <w:p w14:paraId="0816A97D" w14:textId="4A2A4C66" w:rsidR="00D03FAA" w:rsidRPr="00D03FAA" w:rsidRDefault="00D03FAA" w:rsidP="008A59EF">
      <w:pPr>
        <w:pStyle w:val="Heading3"/>
        <w:spacing w:before="0" w:line="276" w:lineRule="auto"/>
      </w:pPr>
      <w:r w:rsidRPr="00D03FAA">
        <w:t>Trustee responsibilities</w:t>
      </w:r>
    </w:p>
    <w:p w14:paraId="2A211FD8" w14:textId="1B5380DD" w:rsidR="005C1AC4" w:rsidRDefault="005C1AC4" w:rsidP="008A59EF">
      <w:pPr>
        <w:pStyle w:val="P1"/>
        <w:spacing w:line="276" w:lineRule="auto"/>
        <w:jc w:val="left"/>
        <w:rPr>
          <w:lang w:val="en-US"/>
        </w:rPr>
      </w:pPr>
      <w:r>
        <w:rPr>
          <w:lang w:val="en-US"/>
        </w:rPr>
        <w:t>In the Pensions Authority’s view, trustees</w:t>
      </w:r>
      <w:r w:rsidR="00B334F9">
        <w:rPr>
          <w:lang w:val="en-US"/>
        </w:rPr>
        <w:t xml:space="preserve"> pursuing an investment strategy which may give rise to </w:t>
      </w:r>
      <w:r w:rsidR="00B334F9">
        <w:rPr>
          <w:rFonts w:cs="Arial"/>
        </w:rPr>
        <w:t>significant liquidity risk</w:t>
      </w:r>
      <w:r w:rsidR="00AD45C1">
        <w:rPr>
          <w:lang w:val="en-US"/>
        </w:rPr>
        <w:t xml:space="preserve"> </w:t>
      </w:r>
      <w:r w:rsidR="00030B57">
        <w:rPr>
          <w:lang w:val="en-US"/>
        </w:rPr>
        <w:t>should</w:t>
      </w:r>
      <w:r w:rsidR="00E175E5">
        <w:rPr>
          <w:lang w:val="en-US"/>
        </w:rPr>
        <w:t>:</w:t>
      </w:r>
    </w:p>
    <w:p w14:paraId="12CB61A1" w14:textId="302A4C0E" w:rsidR="00303621" w:rsidRDefault="00646B75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 xml:space="preserve">particularly </w:t>
      </w:r>
      <w:proofErr w:type="gramStart"/>
      <w:r>
        <w:rPr>
          <w:lang w:val="en-US"/>
        </w:rPr>
        <w:t>with regard to</w:t>
      </w:r>
      <w:proofErr w:type="gramEnd"/>
      <w:r>
        <w:rPr>
          <w:lang w:val="en-US"/>
        </w:rPr>
        <w:t xml:space="preserve"> derivative</w:t>
      </w:r>
      <w:r w:rsidR="00D03719">
        <w:rPr>
          <w:lang w:val="en-US"/>
        </w:rPr>
        <w:t xml:space="preserve"> instruments</w:t>
      </w:r>
      <w:r>
        <w:rPr>
          <w:lang w:val="en-US"/>
        </w:rPr>
        <w:t xml:space="preserve"> and borrowing, </w:t>
      </w:r>
      <w:r w:rsidR="00303621">
        <w:rPr>
          <w:lang w:val="en-US"/>
        </w:rPr>
        <w:t xml:space="preserve">ensure that their </w:t>
      </w:r>
      <w:r w:rsidR="002F4159">
        <w:rPr>
          <w:lang w:val="en-US"/>
        </w:rPr>
        <w:t xml:space="preserve">investment </w:t>
      </w:r>
      <w:r w:rsidR="00303621">
        <w:rPr>
          <w:lang w:val="en-US"/>
        </w:rPr>
        <w:t>strategy</w:t>
      </w:r>
      <w:r w:rsidR="000D46D2">
        <w:rPr>
          <w:lang w:val="en-US"/>
        </w:rPr>
        <w:t xml:space="preserve"> complies </w:t>
      </w:r>
      <w:r w:rsidR="00030B57">
        <w:rPr>
          <w:lang w:val="en-US"/>
        </w:rPr>
        <w:t xml:space="preserve">with </w:t>
      </w:r>
      <w:r w:rsidR="000D46D2">
        <w:rPr>
          <w:lang w:val="en-US"/>
        </w:rPr>
        <w:t>legislat</w:t>
      </w:r>
      <w:r w:rsidR="00030B57">
        <w:rPr>
          <w:lang w:val="en-US"/>
        </w:rPr>
        <w:t>ive</w:t>
      </w:r>
      <w:r w:rsidR="00F7300B">
        <w:rPr>
          <w:lang w:val="en-US"/>
        </w:rPr>
        <w:t xml:space="preserve"> restrictions on </w:t>
      </w:r>
      <w:r w:rsidR="00303621">
        <w:rPr>
          <w:lang w:val="en-US"/>
        </w:rPr>
        <w:t>investment</w:t>
      </w:r>
      <w:r w:rsidR="000D46D2">
        <w:rPr>
          <w:rStyle w:val="FootnoteReference"/>
          <w:lang w:val="en-US"/>
        </w:rPr>
        <w:footnoteReference w:id="1"/>
      </w:r>
      <w:r w:rsidR="00E175E5">
        <w:rPr>
          <w:lang w:val="en-US"/>
        </w:rPr>
        <w:t>,</w:t>
      </w:r>
      <w:r w:rsidR="00303621">
        <w:rPr>
          <w:lang w:val="en-US"/>
        </w:rPr>
        <w:t xml:space="preserve"> </w:t>
      </w:r>
    </w:p>
    <w:p w14:paraId="1E494DAF" w14:textId="27E9548C" w:rsidR="00303621" w:rsidRDefault="00303621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 xml:space="preserve">set out </w:t>
      </w:r>
      <w:r w:rsidR="000D46D2">
        <w:rPr>
          <w:lang w:val="en-US"/>
        </w:rPr>
        <w:t>detailed</w:t>
      </w:r>
      <w:r w:rsidR="00824D9A">
        <w:rPr>
          <w:lang w:val="en-US"/>
        </w:rPr>
        <w:t xml:space="preserve"> </w:t>
      </w:r>
      <w:r w:rsidR="000D46D2">
        <w:rPr>
          <w:lang w:val="en-US"/>
        </w:rPr>
        <w:t xml:space="preserve">information on the investment strategy </w:t>
      </w:r>
      <w:r>
        <w:rPr>
          <w:lang w:val="en-US"/>
        </w:rPr>
        <w:t xml:space="preserve">in their </w:t>
      </w:r>
      <w:r w:rsidR="00824D9A" w:rsidRPr="00824D9A">
        <w:rPr>
          <w:lang w:val="en-US"/>
        </w:rPr>
        <w:t>statement of investment policy principles</w:t>
      </w:r>
      <w:r w:rsidR="008F7F28">
        <w:rPr>
          <w:lang w:val="en-US"/>
        </w:rPr>
        <w:t xml:space="preserve"> (SIPP)</w:t>
      </w:r>
      <w:r w:rsidR="000D46D2">
        <w:rPr>
          <w:rStyle w:val="FootnoteReference"/>
          <w:lang w:val="en-US"/>
        </w:rPr>
        <w:footnoteReference w:id="2"/>
      </w:r>
      <w:r w:rsidR="00E175E5">
        <w:rPr>
          <w:lang w:val="en-US"/>
        </w:rPr>
        <w:t>,</w:t>
      </w:r>
      <w:r w:rsidR="000D46D2">
        <w:rPr>
          <w:lang w:val="en-US"/>
        </w:rPr>
        <w:t xml:space="preserve"> </w:t>
      </w:r>
    </w:p>
    <w:p w14:paraId="53CF5ACA" w14:textId="4A8FE4C8" w:rsidR="005C1AC4" w:rsidRDefault="00030B57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 xml:space="preserve">be </w:t>
      </w:r>
      <w:r w:rsidR="00646B75">
        <w:rPr>
          <w:lang w:val="en-US"/>
        </w:rPr>
        <w:t xml:space="preserve">particularly </w:t>
      </w:r>
      <w:r>
        <w:rPr>
          <w:lang w:val="en-US"/>
        </w:rPr>
        <w:t>mindful of</w:t>
      </w:r>
      <w:r w:rsidR="00880CD6">
        <w:rPr>
          <w:lang w:val="en-US"/>
        </w:rPr>
        <w:t xml:space="preserve"> the </w:t>
      </w:r>
      <w:r w:rsidR="00284844">
        <w:rPr>
          <w:lang w:val="en-US"/>
        </w:rPr>
        <w:t>distinct roles of investment advisers and investment managers</w:t>
      </w:r>
      <w:r w:rsidR="00880CD6">
        <w:rPr>
          <w:rStyle w:val="FootnoteReference"/>
          <w:lang w:val="en-US"/>
        </w:rPr>
        <w:footnoteReference w:id="3"/>
      </w:r>
      <w:r w:rsidR="00E175E5">
        <w:rPr>
          <w:lang w:val="en-US"/>
        </w:rPr>
        <w:t>,</w:t>
      </w:r>
    </w:p>
    <w:p w14:paraId="523DA890" w14:textId="6CDB7C25" w:rsidR="008B2666" w:rsidRDefault="008B2666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>satisfy themselves that the</w:t>
      </w:r>
      <w:r w:rsidR="0037274D">
        <w:rPr>
          <w:lang w:val="en-US"/>
        </w:rPr>
        <w:t>ir</w:t>
      </w:r>
      <w:r>
        <w:rPr>
          <w:lang w:val="en-US"/>
        </w:rPr>
        <w:t xml:space="preserve"> investment managers have the </w:t>
      </w:r>
      <w:r w:rsidR="0037274D">
        <w:rPr>
          <w:lang w:val="en-US"/>
        </w:rPr>
        <w:t xml:space="preserve">necessary </w:t>
      </w:r>
      <w:r>
        <w:rPr>
          <w:lang w:val="en-US"/>
        </w:rPr>
        <w:t>expertise and operational capability</w:t>
      </w:r>
      <w:r w:rsidR="0037274D">
        <w:rPr>
          <w:rStyle w:val="FootnoteReference"/>
          <w:lang w:val="en-US"/>
        </w:rPr>
        <w:footnoteReference w:id="4"/>
      </w:r>
      <w:r w:rsidR="00E175E5">
        <w:rPr>
          <w:lang w:val="en-US"/>
        </w:rPr>
        <w:t>,</w:t>
      </w:r>
    </w:p>
    <w:p w14:paraId="16EB2F87" w14:textId="77777777" w:rsidR="00F54745" w:rsidRDefault="0014637E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 w:rsidRPr="0014637E">
        <w:rPr>
          <w:lang w:val="en-US"/>
        </w:rPr>
        <w:t xml:space="preserve">in conjunction with their advisers, establish a target level of liquidity appropriate to the collateral and cash call requirements that may arise and have a liquidity preparedness plan in place to restore the target level of </w:t>
      </w:r>
      <w:r w:rsidRPr="0014637E">
        <w:rPr>
          <w:lang w:val="en-US"/>
        </w:rPr>
        <w:lastRenderedPageBreak/>
        <w:t xml:space="preserve">liquidity following adverse market movements or </w:t>
      </w:r>
      <w:r w:rsidR="00D66DDE">
        <w:rPr>
          <w:lang w:val="en-US"/>
        </w:rPr>
        <w:t xml:space="preserve">during </w:t>
      </w:r>
      <w:r w:rsidRPr="0014637E">
        <w:rPr>
          <w:lang w:val="en-US"/>
        </w:rPr>
        <w:t>periods of decreased market liquidity</w:t>
      </w:r>
      <w:r>
        <w:rPr>
          <w:lang w:val="en-US"/>
        </w:rPr>
        <w:t>.</w:t>
      </w:r>
    </w:p>
    <w:p w14:paraId="22C178B3" w14:textId="0A58E1E8" w:rsidR="00C479BD" w:rsidRPr="007B66DD" w:rsidRDefault="00AD45C1" w:rsidP="008A59EF">
      <w:pPr>
        <w:pStyle w:val="P1"/>
        <w:spacing w:line="276" w:lineRule="auto"/>
        <w:ind w:left="720"/>
        <w:jc w:val="left"/>
        <w:rPr>
          <w:lang w:val="en-US"/>
        </w:rPr>
      </w:pPr>
      <w:r w:rsidRPr="0014637E">
        <w:rPr>
          <w:rFonts w:cs="Arial"/>
          <w:bCs/>
        </w:rPr>
        <w:t xml:space="preserve">The plan </w:t>
      </w:r>
      <w:r w:rsidR="00284844" w:rsidRPr="0014637E">
        <w:rPr>
          <w:rFonts w:cs="Arial"/>
          <w:bCs/>
        </w:rPr>
        <w:t>could include</w:t>
      </w:r>
      <w:r w:rsidR="009A1BE6">
        <w:rPr>
          <w:rFonts w:cs="Arial"/>
          <w:bCs/>
        </w:rPr>
        <w:t>:</w:t>
      </w:r>
    </w:p>
    <w:p w14:paraId="73402E3C" w14:textId="695EE8AE" w:rsidR="00C479BD" w:rsidRDefault="00C479BD" w:rsidP="008A59EF">
      <w:pPr>
        <w:pStyle w:val="ListParagraph"/>
        <w:numPr>
          <w:ilvl w:val="1"/>
          <w:numId w:val="2"/>
        </w:numPr>
        <w:kinsoku w:val="0"/>
        <w:overflowPunct w:val="0"/>
        <w:spacing w:after="240" w:line="276" w:lineRule="auto"/>
        <w:textAlignment w:val="baseline"/>
        <w:rPr>
          <w:lang w:val="en-US"/>
        </w:rPr>
      </w:pPr>
      <w:r>
        <w:rPr>
          <w:rFonts w:cs="Arial"/>
          <w:bCs/>
          <w:lang w:val="en-GB"/>
        </w:rPr>
        <w:t>a</w:t>
      </w:r>
      <w:r w:rsidR="00D03719">
        <w:rPr>
          <w:rFonts w:cs="Arial"/>
          <w:bCs/>
          <w:lang w:val="en-GB"/>
        </w:rPr>
        <w:t xml:space="preserve"> prepared </w:t>
      </w:r>
      <w:r>
        <w:rPr>
          <w:rFonts w:cs="Arial"/>
          <w:bCs/>
          <w:lang w:val="en-GB"/>
        </w:rPr>
        <w:t>asset liquidation program</w:t>
      </w:r>
      <w:r w:rsidR="009A1BE6">
        <w:rPr>
          <w:rFonts w:cs="Arial"/>
          <w:bCs/>
          <w:lang w:val="en-GB"/>
        </w:rPr>
        <w:t>,</w:t>
      </w:r>
    </w:p>
    <w:p w14:paraId="448A24A4" w14:textId="3B368284" w:rsidR="00B448A3" w:rsidRPr="00AD45C1" w:rsidRDefault="00C479BD" w:rsidP="008A59EF">
      <w:pPr>
        <w:pStyle w:val="ListParagraph"/>
        <w:numPr>
          <w:ilvl w:val="1"/>
          <w:numId w:val="2"/>
        </w:numPr>
        <w:kinsoku w:val="0"/>
        <w:overflowPunct w:val="0"/>
        <w:spacing w:after="240" w:line="276" w:lineRule="auto"/>
        <w:textAlignment w:val="baseline"/>
        <w:rPr>
          <w:lang w:val="en-US"/>
        </w:rPr>
      </w:pPr>
      <w:r>
        <w:rPr>
          <w:rFonts w:cs="Arial"/>
          <w:bCs/>
          <w:lang w:val="en-GB"/>
        </w:rPr>
        <w:t>a support agreement with the sponsoring employer</w:t>
      </w:r>
      <w:r w:rsidR="0014637E">
        <w:rPr>
          <w:rStyle w:val="FootnoteReference"/>
          <w:rFonts w:cs="Arial"/>
          <w:bCs/>
          <w:lang w:val="en-GB"/>
        </w:rPr>
        <w:footnoteReference w:id="5"/>
      </w:r>
      <w:r w:rsidR="009A1BE6">
        <w:rPr>
          <w:rFonts w:cs="Arial"/>
          <w:bCs/>
          <w:lang w:val="en-GB"/>
        </w:rPr>
        <w:t>,</w:t>
      </w:r>
    </w:p>
    <w:p w14:paraId="6D0FD0AD" w14:textId="1986CCC8" w:rsidR="00AD45C1" w:rsidRDefault="006D54C4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 xml:space="preserve">have </w:t>
      </w:r>
      <w:r w:rsidR="004D2D33">
        <w:rPr>
          <w:lang w:val="en-US"/>
        </w:rPr>
        <w:t>operational arrangements</w:t>
      </w:r>
      <w:r w:rsidR="003E639F">
        <w:rPr>
          <w:lang w:val="en-US"/>
        </w:rPr>
        <w:t xml:space="preserve"> in place</w:t>
      </w:r>
      <w:r w:rsidR="00AD45C1">
        <w:rPr>
          <w:lang w:val="en-US"/>
        </w:rPr>
        <w:t xml:space="preserve"> that </w:t>
      </w:r>
      <w:r w:rsidR="004D2D33">
        <w:rPr>
          <w:lang w:val="en-US"/>
        </w:rPr>
        <w:t>ensure that the scheme’s decision-making process can cope with rapid market movements</w:t>
      </w:r>
      <w:r w:rsidR="003E639F">
        <w:rPr>
          <w:rStyle w:val="FootnoteReference"/>
          <w:lang w:val="en-US"/>
        </w:rPr>
        <w:footnoteReference w:id="6"/>
      </w:r>
      <w:r w:rsidR="009A1BE6">
        <w:rPr>
          <w:lang w:val="en-US"/>
        </w:rPr>
        <w:t>,</w:t>
      </w:r>
    </w:p>
    <w:p w14:paraId="558E44B8" w14:textId="45E4AF57" w:rsidR="005C1AC4" w:rsidRDefault="00160338" w:rsidP="008A59EF">
      <w:pPr>
        <w:pStyle w:val="P1"/>
        <w:numPr>
          <w:ilvl w:val="0"/>
          <w:numId w:val="2"/>
        </w:numPr>
        <w:spacing w:line="276" w:lineRule="auto"/>
        <w:jc w:val="left"/>
        <w:rPr>
          <w:lang w:val="en-US"/>
        </w:rPr>
      </w:pPr>
      <w:r>
        <w:rPr>
          <w:lang w:val="en-US"/>
        </w:rPr>
        <w:t xml:space="preserve">closely </w:t>
      </w:r>
      <w:r w:rsidR="00AD45C1">
        <w:rPr>
          <w:lang w:val="en-US"/>
        </w:rPr>
        <w:t>m</w:t>
      </w:r>
      <w:r w:rsidR="005C1AC4">
        <w:rPr>
          <w:lang w:val="en-US"/>
        </w:rPr>
        <w:t>onitor</w:t>
      </w:r>
      <w:r w:rsidR="00AD45C1">
        <w:rPr>
          <w:lang w:val="en-US"/>
        </w:rPr>
        <w:t xml:space="preserve"> </w:t>
      </w:r>
      <w:r w:rsidR="005C1AC4">
        <w:rPr>
          <w:lang w:val="en-US"/>
        </w:rPr>
        <w:t xml:space="preserve">the risks and performance of their </w:t>
      </w:r>
      <w:r w:rsidR="00C479BD">
        <w:rPr>
          <w:lang w:val="en-US"/>
        </w:rPr>
        <w:t xml:space="preserve">investment </w:t>
      </w:r>
      <w:r w:rsidR="005C1AC4">
        <w:rPr>
          <w:lang w:val="en-US"/>
        </w:rPr>
        <w:t>strategy</w:t>
      </w:r>
      <w:r w:rsidR="008B2666">
        <w:rPr>
          <w:lang w:val="en-US"/>
        </w:rPr>
        <w:t xml:space="preserve"> and </w:t>
      </w:r>
      <w:r w:rsidR="00D03FAA">
        <w:rPr>
          <w:lang w:val="en-US"/>
        </w:rPr>
        <w:t>include information on these in the trustee annual report</w:t>
      </w:r>
      <w:r w:rsidR="004D2D33">
        <w:rPr>
          <w:rStyle w:val="FootnoteReference"/>
          <w:lang w:val="en-US"/>
        </w:rPr>
        <w:footnoteReference w:id="7"/>
      </w:r>
      <w:r w:rsidR="009A1BE6">
        <w:rPr>
          <w:lang w:val="en-US"/>
        </w:rPr>
        <w:t>.</w:t>
      </w:r>
      <w:r w:rsidR="005C1AC4">
        <w:rPr>
          <w:lang w:val="en-US"/>
        </w:rPr>
        <w:t xml:space="preserve"> </w:t>
      </w:r>
    </w:p>
    <w:sectPr w:rsidR="005C1A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5050" w14:textId="77777777" w:rsidR="00680AEB" w:rsidRDefault="00680AEB" w:rsidP="00EA1A68">
      <w:r>
        <w:separator/>
      </w:r>
    </w:p>
  </w:endnote>
  <w:endnote w:type="continuationSeparator" w:id="0">
    <w:p w14:paraId="31D9CBD1" w14:textId="77777777" w:rsidR="00680AEB" w:rsidRDefault="00680AEB" w:rsidP="00E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80056"/>
      <w:docPartObj>
        <w:docPartGallery w:val="Page Numbers (Bottom of Page)"/>
        <w:docPartUnique/>
      </w:docPartObj>
    </w:sdtPr>
    <w:sdtEndPr/>
    <w:sdtContent>
      <w:sdt>
        <w:sdtPr>
          <w:id w:val="-1786804885"/>
          <w:docPartObj>
            <w:docPartGallery w:val="Page Numbers (Top of Page)"/>
            <w:docPartUnique/>
          </w:docPartObj>
        </w:sdtPr>
        <w:sdtEndPr/>
        <w:sdtContent>
          <w:p w14:paraId="15C8A6A6" w14:textId="77777777" w:rsidR="00D03FAA" w:rsidRDefault="00D03FAA" w:rsidP="00AF277C">
            <w:pPr>
              <w:pStyle w:val="Footer"/>
              <w:jc w:val="center"/>
            </w:pPr>
            <w:r w:rsidRPr="00F2161F">
              <w:rPr>
                <w:sz w:val="20"/>
                <w:szCs w:val="20"/>
                <w:lang w:val="en-GB"/>
              </w:rPr>
              <w:t xml:space="preserve">Page </w:t>
            </w:r>
            <w:r w:rsidRPr="00F2161F">
              <w:rPr>
                <w:b/>
                <w:bCs/>
                <w:sz w:val="20"/>
                <w:szCs w:val="20"/>
              </w:rPr>
              <w:fldChar w:fldCharType="begin"/>
            </w:r>
            <w:r w:rsidRPr="00F2161F">
              <w:rPr>
                <w:b/>
                <w:bCs/>
                <w:sz w:val="20"/>
                <w:szCs w:val="20"/>
              </w:rPr>
              <w:instrText>PAGE</w:instrText>
            </w:r>
            <w:r w:rsidRPr="00F2161F">
              <w:rPr>
                <w:b/>
                <w:bCs/>
                <w:sz w:val="20"/>
                <w:szCs w:val="20"/>
              </w:rPr>
              <w:fldChar w:fldCharType="separate"/>
            </w:r>
            <w:r w:rsidRPr="00F2161F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2161F">
              <w:rPr>
                <w:b/>
                <w:bCs/>
                <w:sz w:val="20"/>
                <w:szCs w:val="20"/>
              </w:rPr>
              <w:fldChar w:fldCharType="end"/>
            </w:r>
            <w:r w:rsidRPr="00F2161F">
              <w:rPr>
                <w:sz w:val="20"/>
                <w:szCs w:val="20"/>
                <w:lang w:val="en-GB"/>
              </w:rPr>
              <w:t xml:space="preserve"> of </w:t>
            </w:r>
            <w:r w:rsidRPr="00F2161F">
              <w:rPr>
                <w:b/>
                <w:bCs/>
                <w:sz w:val="20"/>
                <w:szCs w:val="20"/>
              </w:rPr>
              <w:fldChar w:fldCharType="begin"/>
            </w:r>
            <w:r w:rsidRPr="00F2161F">
              <w:rPr>
                <w:b/>
                <w:bCs/>
                <w:sz w:val="20"/>
                <w:szCs w:val="20"/>
              </w:rPr>
              <w:instrText>NUMPAGES</w:instrText>
            </w:r>
            <w:r w:rsidRPr="00F2161F">
              <w:rPr>
                <w:b/>
                <w:bCs/>
                <w:sz w:val="20"/>
                <w:szCs w:val="20"/>
              </w:rPr>
              <w:fldChar w:fldCharType="separate"/>
            </w:r>
            <w:r w:rsidRPr="00F2161F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216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EF19" w14:textId="77DFE610" w:rsidR="00D03FAA" w:rsidRPr="00FA43A9" w:rsidRDefault="00D03FAA" w:rsidP="00E63ABE">
    <w:pPr>
      <w:pStyle w:val="Footer"/>
      <w:jc w:val="right"/>
      <w:rPr>
        <w:sz w:val="20"/>
        <w:szCs w:val="20"/>
      </w:rPr>
    </w:pPr>
    <w:r w:rsidRPr="00FA43A9">
      <w:rPr>
        <w:sz w:val="20"/>
        <w:szCs w:val="20"/>
      </w:rPr>
      <w:t xml:space="preserve">Date published: </w:t>
    </w:r>
    <w:r w:rsidR="00AB0F86">
      <w:rPr>
        <w:sz w:val="20"/>
        <w:szCs w:val="20"/>
      </w:rPr>
      <w:t xml:space="preserve">June </w:t>
    </w:r>
    <w:r>
      <w:rPr>
        <w:sz w:val="20"/>
        <w:szCs w:val="20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6A18" w14:textId="77777777" w:rsidR="008433B8" w:rsidRDefault="008433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391192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EFD89D" w14:textId="6E0C0A64" w:rsidR="00EA1A68" w:rsidRPr="00AE79BC" w:rsidRDefault="00EA1A68" w:rsidP="00AE79BC">
            <w:pPr>
              <w:pStyle w:val="Footer"/>
              <w:jc w:val="center"/>
              <w:rPr>
                <w:sz w:val="20"/>
                <w:szCs w:val="20"/>
              </w:rPr>
            </w:pPr>
            <w:r w:rsidRPr="00683589">
              <w:rPr>
                <w:sz w:val="20"/>
                <w:szCs w:val="20"/>
              </w:rPr>
              <w:t xml:space="preserve">Page </w:t>
            </w:r>
            <w:r w:rsidRPr="00683589">
              <w:rPr>
                <w:b/>
                <w:bCs/>
                <w:sz w:val="20"/>
                <w:szCs w:val="20"/>
              </w:rPr>
              <w:fldChar w:fldCharType="begin"/>
            </w:r>
            <w:r w:rsidRPr="0068358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83589">
              <w:rPr>
                <w:b/>
                <w:bCs/>
                <w:sz w:val="20"/>
                <w:szCs w:val="20"/>
              </w:rPr>
              <w:fldChar w:fldCharType="separate"/>
            </w:r>
            <w:r w:rsidR="005039F6">
              <w:rPr>
                <w:b/>
                <w:bCs/>
                <w:noProof/>
                <w:sz w:val="20"/>
                <w:szCs w:val="20"/>
              </w:rPr>
              <w:t>1</w:t>
            </w:r>
            <w:r w:rsidRPr="00683589">
              <w:rPr>
                <w:b/>
                <w:bCs/>
                <w:sz w:val="20"/>
                <w:szCs w:val="20"/>
              </w:rPr>
              <w:fldChar w:fldCharType="end"/>
            </w:r>
            <w:r w:rsidRPr="00683589">
              <w:rPr>
                <w:sz w:val="20"/>
                <w:szCs w:val="20"/>
              </w:rPr>
              <w:t xml:space="preserve"> of </w:t>
            </w:r>
            <w:r w:rsidRPr="00683589">
              <w:rPr>
                <w:b/>
                <w:bCs/>
                <w:sz w:val="20"/>
                <w:szCs w:val="20"/>
              </w:rPr>
              <w:fldChar w:fldCharType="begin"/>
            </w:r>
            <w:r w:rsidRPr="0068358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83589">
              <w:rPr>
                <w:b/>
                <w:bCs/>
                <w:sz w:val="20"/>
                <w:szCs w:val="20"/>
              </w:rPr>
              <w:fldChar w:fldCharType="separate"/>
            </w:r>
            <w:r w:rsidR="005039F6">
              <w:rPr>
                <w:b/>
                <w:bCs/>
                <w:noProof/>
                <w:sz w:val="20"/>
                <w:szCs w:val="20"/>
              </w:rPr>
              <w:t>1</w:t>
            </w:r>
            <w:r w:rsidRPr="0068358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A2E9" w14:textId="77777777" w:rsidR="008433B8" w:rsidRDefault="0084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7A0B" w14:textId="77777777" w:rsidR="00680AEB" w:rsidRDefault="00680AEB" w:rsidP="00EA1A68">
      <w:r>
        <w:separator/>
      </w:r>
    </w:p>
  </w:footnote>
  <w:footnote w:type="continuationSeparator" w:id="0">
    <w:p w14:paraId="33287DB9" w14:textId="77777777" w:rsidR="00680AEB" w:rsidRDefault="00680AEB" w:rsidP="00EA1A68">
      <w:r>
        <w:continuationSeparator/>
      </w:r>
    </w:p>
  </w:footnote>
  <w:footnote w:id="1">
    <w:p w14:paraId="1E55D7EE" w14:textId="02030FF7" w:rsidR="000D46D2" w:rsidRDefault="000D46D2" w:rsidP="00855E34">
      <w:pPr>
        <w:pStyle w:val="FootnoteText"/>
      </w:pPr>
      <w:r>
        <w:rPr>
          <w:rStyle w:val="FootnoteReference"/>
        </w:rPr>
        <w:footnoteRef/>
      </w:r>
      <w:r>
        <w:t xml:space="preserve"> Pensions</w:t>
      </w:r>
      <w:r w:rsidR="00B334F9">
        <w:t xml:space="preserve"> Act</w:t>
      </w:r>
      <w:r w:rsidR="00AE79BC">
        <w:t>,</w:t>
      </w:r>
      <w:r w:rsidR="00B334F9">
        <w:t xml:space="preserve"> 1990, as amended, sections 59(1</w:t>
      </w:r>
      <w:r w:rsidR="00BB0B28">
        <w:t>)(b</w:t>
      </w:r>
      <w:r w:rsidR="00B334F9">
        <w:t xml:space="preserve">), 61B; </w:t>
      </w:r>
      <w:r w:rsidR="00B334F9" w:rsidRPr="000D46D2">
        <w:t>Occupational Pension Schemes (Investment) Regulations 2021 [S.I. No. 636 of 2021]</w:t>
      </w:r>
      <w:r w:rsidR="00B334F9">
        <w:t>; Code of Practice</w:t>
      </w:r>
      <w:r w:rsidR="00E6423E">
        <w:t xml:space="preserve"> for trustees</w:t>
      </w:r>
      <w:r w:rsidR="00B334F9">
        <w:t>, paragraphs 71, 72, 74, 75, 76</w:t>
      </w:r>
      <w:r>
        <w:t>.</w:t>
      </w:r>
    </w:p>
  </w:footnote>
  <w:footnote w:id="2">
    <w:p w14:paraId="446BD2FF" w14:textId="0F902C6E" w:rsidR="000D46D2" w:rsidRDefault="000D46D2" w:rsidP="00855E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0CD6">
        <w:t>Pensions</w:t>
      </w:r>
      <w:r w:rsidR="00B334F9">
        <w:t xml:space="preserve"> Act</w:t>
      </w:r>
      <w:r w:rsidR="00BB0B28">
        <w:t>,</w:t>
      </w:r>
      <w:r w:rsidR="00B334F9">
        <w:t xml:space="preserve"> 1990, as amended, section 59AB; </w:t>
      </w:r>
      <w:r w:rsidR="00B334F9" w:rsidRPr="000D46D2">
        <w:t>Occupational Pension Schemes (Investment) Regulations 2021 [S.I. No. 636 of 2021]</w:t>
      </w:r>
      <w:r w:rsidR="00B334F9">
        <w:t>; Code of Practice</w:t>
      </w:r>
      <w:r w:rsidR="00E6423E">
        <w:t xml:space="preserve"> for trustees</w:t>
      </w:r>
      <w:r w:rsidR="00B334F9">
        <w:t>, paragraph 75</w:t>
      </w:r>
      <w:r w:rsidR="00BB0B28">
        <w:t>.</w:t>
      </w:r>
      <w:r w:rsidR="00880CD6">
        <w:t xml:space="preserve"> </w:t>
      </w:r>
    </w:p>
  </w:footnote>
  <w:footnote w:id="3">
    <w:p w14:paraId="7655D669" w14:textId="10E94844" w:rsidR="00880CD6" w:rsidRDefault="00880CD6" w:rsidP="00855E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30B57">
        <w:t>C</w:t>
      </w:r>
      <w:r w:rsidR="00824D9A">
        <w:t>ode of Practice</w:t>
      </w:r>
      <w:r w:rsidR="00E6423E">
        <w:t xml:space="preserve"> for trustees</w:t>
      </w:r>
      <w:r w:rsidR="00824D9A">
        <w:t>, paragraphs 72, 80</w:t>
      </w:r>
      <w:r w:rsidR="00BB0B28">
        <w:t>.</w:t>
      </w:r>
    </w:p>
  </w:footnote>
  <w:footnote w:id="4">
    <w:p w14:paraId="35BCC313" w14:textId="4FC71A8C" w:rsidR="0037274D" w:rsidRDefault="0037274D" w:rsidP="00701C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Code of Practice</w:t>
      </w:r>
      <w:r w:rsidR="00E6423E">
        <w:t xml:space="preserve"> for trustees</w:t>
      </w:r>
      <w:r>
        <w:t>, paragraph 25</w:t>
      </w:r>
      <w:r w:rsidR="00BB0B28">
        <w:t>.</w:t>
      </w:r>
    </w:p>
  </w:footnote>
  <w:footnote w:id="5">
    <w:p w14:paraId="6B4BB390" w14:textId="51582CF3" w:rsidR="0014637E" w:rsidRDefault="0014637E" w:rsidP="00701C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Code of Practice</w:t>
      </w:r>
      <w:r w:rsidR="00E6423E">
        <w:t xml:space="preserve"> for trustees</w:t>
      </w:r>
      <w:r>
        <w:t>, paragraph 75</w:t>
      </w:r>
      <w:r w:rsidR="009A1BE6">
        <w:t>.</w:t>
      </w:r>
    </w:p>
  </w:footnote>
  <w:footnote w:id="6">
    <w:p w14:paraId="5B46F1CC" w14:textId="43B61942" w:rsidR="003E639F" w:rsidRDefault="003E639F" w:rsidP="00701C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Code of Practice</w:t>
      </w:r>
      <w:r w:rsidR="00E6423E">
        <w:t xml:space="preserve"> for trustees</w:t>
      </w:r>
      <w:r>
        <w:t>, paragraph 70</w:t>
      </w:r>
      <w:r w:rsidR="009A1BE6">
        <w:t>.</w:t>
      </w:r>
    </w:p>
  </w:footnote>
  <w:footnote w:id="7">
    <w:p w14:paraId="7ED77FEB" w14:textId="7D625522" w:rsidR="004D2D33" w:rsidRDefault="004D2D33" w:rsidP="00D76BCF">
      <w:pPr>
        <w:pStyle w:val="FootnoteText"/>
      </w:pPr>
      <w:r>
        <w:rPr>
          <w:rStyle w:val="FootnoteReference"/>
        </w:rPr>
        <w:footnoteRef/>
      </w:r>
      <w:r w:rsidR="00D76BCF">
        <w:t xml:space="preserve"> </w:t>
      </w:r>
      <w:r w:rsidR="00D03FAA">
        <w:t>Pensions Act</w:t>
      </w:r>
      <w:r w:rsidR="009A1BE6">
        <w:t>,</w:t>
      </w:r>
      <w:r w:rsidR="00D03FAA">
        <w:t xml:space="preserve"> 1990, as amended, section 55</w:t>
      </w:r>
      <w:r w:rsidR="003C680D">
        <w:t xml:space="preserve">; </w:t>
      </w:r>
      <w:r w:rsidR="003C680D" w:rsidRPr="000D46D2">
        <w:t>Occupational Pension Schemes (Investment) Regulations 2021 [S.I. No. 636 of 2021]</w:t>
      </w:r>
      <w:r w:rsidR="009A1B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22E7" w14:textId="77777777" w:rsidR="00D03FAA" w:rsidRDefault="00D03FAA" w:rsidP="00F36BAE">
    <w:pPr>
      <w:pStyle w:val="Header"/>
      <w:jc w:val="center"/>
    </w:pPr>
    <w:r>
      <w:rPr>
        <w:noProof/>
        <w:lang w:eastAsia="en-IE"/>
      </w:rPr>
      <w:drawing>
        <wp:inline distT="0" distB="0" distL="0" distR="0" wp14:anchorId="3219750F" wp14:editId="15AC97BE">
          <wp:extent cx="1616400" cy="540000"/>
          <wp:effectExtent l="0" t="0" r="3175" b="0"/>
          <wp:docPr id="169474631" name="Picture 169474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-Logo2013-CMYK-CS4-4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0EE3B" w14:textId="77777777" w:rsidR="00D03FAA" w:rsidRDefault="00D03FAA" w:rsidP="00F36B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4C4D" w14:textId="77777777" w:rsidR="00D03FAA" w:rsidRDefault="00D03FAA" w:rsidP="007D6CFF">
    <w:pPr>
      <w:pStyle w:val="Header"/>
      <w:jc w:val="center"/>
    </w:pPr>
    <w:r>
      <w:rPr>
        <w:noProof/>
        <w:lang w:eastAsia="en-IE"/>
      </w:rPr>
      <w:drawing>
        <wp:inline distT="0" distB="0" distL="0" distR="0" wp14:anchorId="19461EF4" wp14:editId="321E42B2">
          <wp:extent cx="1616400" cy="540000"/>
          <wp:effectExtent l="0" t="0" r="3175" b="0"/>
          <wp:docPr id="822448154" name="Picture 822448154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FEE0E" w14:textId="77777777" w:rsidR="00D03FAA" w:rsidRDefault="00D03FAA" w:rsidP="007D6CF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E6BC" w14:textId="77777777" w:rsidR="008433B8" w:rsidRDefault="008433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572E" w14:textId="77777777" w:rsidR="00B23616" w:rsidRPr="008433B8" w:rsidRDefault="00B23616" w:rsidP="008433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FE48" w14:textId="77777777" w:rsidR="008433B8" w:rsidRDefault="00843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F76"/>
    <w:multiLevelType w:val="hybridMultilevel"/>
    <w:tmpl w:val="11C86E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72FD8"/>
    <w:multiLevelType w:val="hybridMultilevel"/>
    <w:tmpl w:val="530EA04C"/>
    <w:lvl w:ilvl="0" w:tplc="0A361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621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6C8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3E0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16D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9A2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02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506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48F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89A7751"/>
    <w:multiLevelType w:val="hybridMultilevel"/>
    <w:tmpl w:val="841E0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D6B9B"/>
    <w:multiLevelType w:val="hybridMultilevel"/>
    <w:tmpl w:val="B4D82E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15492"/>
    <w:multiLevelType w:val="hybridMultilevel"/>
    <w:tmpl w:val="53880A66"/>
    <w:lvl w:ilvl="0" w:tplc="48680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8A0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768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CF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7E8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EA2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6CD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AC5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81239212">
    <w:abstractNumId w:val="2"/>
  </w:num>
  <w:num w:numId="2" w16cid:durableId="663702609">
    <w:abstractNumId w:val="0"/>
  </w:num>
  <w:num w:numId="3" w16cid:durableId="524635398">
    <w:abstractNumId w:val="3"/>
  </w:num>
  <w:num w:numId="4" w16cid:durableId="1833135635">
    <w:abstractNumId w:val="4"/>
  </w:num>
  <w:num w:numId="5" w16cid:durableId="75165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A4"/>
    <w:rsid w:val="00030B57"/>
    <w:rsid w:val="000331FF"/>
    <w:rsid w:val="000446B2"/>
    <w:rsid w:val="000A282A"/>
    <w:rsid w:val="000C20AB"/>
    <w:rsid w:val="000D46D2"/>
    <w:rsid w:val="0014637E"/>
    <w:rsid w:val="001503C3"/>
    <w:rsid w:val="00160338"/>
    <w:rsid w:val="00166175"/>
    <w:rsid w:val="001779A5"/>
    <w:rsid w:val="001D405E"/>
    <w:rsid w:val="001E2AE1"/>
    <w:rsid w:val="001E7D21"/>
    <w:rsid w:val="00226CFB"/>
    <w:rsid w:val="002560EC"/>
    <w:rsid w:val="0027458E"/>
    <w:rsid w:val="00284844"/>
    <w:rsid w:val="002F4159"/>
    <w:rsid w:val="00303621"/>
    <w:rsid w:val="00346CD4"/>
    <w:rsid w:val="0037274D"/>
    <w:rsid w:val="00376414"/>
    <w:rsid w:val="00382A93"/>
    <w:rsid w:val="00391E93"/>
    <w:rsid w:val="00392CEF"/>
    <w:rsid w:val="003B4709"/>
    <w:rsid w:val="003C3D5D"/>
    <w:rsid w:val="003C680D"/>
    <w:rsid w:val="003E639F"/>
    <w:rsid w:val="003F4948"/>
    <w:rsid w:val="0043047A"/>
    <w:rsid w:val="00492A55"/>
    <w:rsid w:val="004D2D33"/>
    <w:rsid w:val="004E45FB"/>
    <w:rsid w:val="00500EEC"/>
    <w:rsid w:val="005039F6"/>
    <w:rsid w:val="00581AE2"/>
    <w:rsid w:val="005C1AC4"/>
    <w:rsid w:val="005F0B0C"/>
    <w:rsid w:val="006167F6"/>
    <w:rsid w:val="00625B60"/>
    <w:rsid w:val="00645BA4"/>
    <w:rsid w:val="00646B75"/>
    <w:rsid w:val="00651174"/>
    <w:rsid w:val="00664058"/>
    <w:rsid w:val="00664E53"/>
    <w:rsid w:val="00680AEB"/>
    <w:rsid w:val="00683589"/>
    <w:rsid w:val="00690404"/>
    <w:rsid w:val="006A149B"/>
    <w:rsid w:val="006D54C4"/>
    <w:rsid w:val="00701CEB"/>
    <w:rsid w:val="007407E0"/>
    <w:rsid w:val="00772BE7"/>
    <w:rsid w:val="007B66DD"/>
    <w:rsid w:val="007F40FA"/>
    <w:rsid w:val="00807A4D"/>
    <w:rsid w:val="00812A13"/>
    <w:rsid w:val="00824D9A"/>
    <w:rsid w:val="008433B8"/>
    <w:rsid w:val="008462DF"/>
    <w:rsid w:val="00855E34"/>
    <w:rsid w:val="00880CD6"/>
    <w:rsid w:val="008A0690"/>
    <w:rsid w:val="008A59EF"/>
    <w:rsid w:val="008B2666"/>
    <w:rsid w:val="008F7F28"/>
    <w:rsid w:val="009162C6"/>
    <w:rsid w:val="009469A1"/>
    <w:rsid w:val="0096128C"/>
    <w:rsid w:val="009A1BE6"/>
    <w:rsid w:val="009A6211"/>
    <w:rsid w:val="009C5DE0"/>
    <w:rsid w:val="009D0A28"/>
    <w:rsid w:val="009D1866"/>
    <w:rsid w:val="00A056B9"/>
    <w:rsid w:val="00A347F3"/>
    <w:rsid w:val="00A77FA3"/>
    <w:rsid w:val="00AB0F86"/>
    <w:rsid w:val="00AD45C1"/>
    <w:rsid w:val="00AE79BC"/>
    <w:rsid w:val="00B23616"/>
    <w:rsid w:val="00B26E6F"/>
    <w:rsid w:val="00B334F9"/>
    <w:rsid w:val="00B352E0"/>
    <w:rsid w:val="00B448A3"/>
    <w:rsid w:val="00B815EC"/>
    <w:rsid w:val="00B91DA4"/>
    <w:rsid w:val="00BB0B28"/>
    <w:rsid w:val="00BC41A9"/>
    <w:rsid w:val="00C479BD"/>
    <w:rsid w:val="00C60469"/>
    <w:rsid w:val="00C94D90"/>
    <w:rsid w:val="00CD0D45"/>
    <w:rsid w:val="00CD3EB0"/>
    <w:rsid w:val="00CF0F44"/>
    <w:rsid w:val="00D03719"/>
    <w:rsid w:val="00D03FAA"/>
    <w:rsid w:val="00D6317E"/>
    <w:rsid w:val="00D66DDE"/>
    <w:rsid w:val="00D76BCF"/>
    <w:rsid w:val="00D85B40"/>
    <w:rsid w:val="00D96702"/>
    <w:rsid w:val="00DB5970"/>
    <w:rsid w:val="00DF6A46"/>
    <w:rsid w:val="00E175E5"/>
    <w:rsid w:val="00E6423E"/>
    <w:rsid w:val="00EA1A68"/>
    <w:rsid w:val="00EE0D28"/>
    <w:rsid w:val="00F35D66"/>
    <w:rsid w:val="00F36BAE"/>
    <w:rsid w:val="00F36EC4"/>
    <w:rsid w:val="00F51ACD"/>
    <w:rsid w:val="00F54745"/>
    <w:rsid w:val="00F63E6D"/>
    <w:rsid w:val="00F7300B"/>
    <w:rsid w:val="00F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E28C"/>
  <w15:chartTrackingRefBased/>
  <w15:docId w15:val="{B6F302BC-1C21-4175-8DCD-619535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57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2A55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86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866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C4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C4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C4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C4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C4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2A5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866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1866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41A9"/>
    <w:pPr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A9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A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A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A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6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A1A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68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93"/>
    <w:pPr>
      <w:numPr>
        <w:ilvl w:val="1"/>
      </w:numPr>
      <w:jc w:val="center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91E93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91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C4"/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val="en-I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C4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val="en-I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C4"/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4"/>
      <w:szCs w:val="24"/>
      <w:lang w:val="en-I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C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I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C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I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C1AC4"/>
    <w:pPr>
      <w:spacing w:after="160"/>
    </w:pPr>
    <w:rPr>
      <w:rFonts w:ascii="Calibri" w:eastAsia="Calibri" w:hAnsi="Calibri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AC4"/>
    <w:rPr>
      <w:rFonts w:ascii="Calibri" w:eastAsia="Calibri" w:hAnsi="Calibri" w:cs="Times New Roman"/>
      <w:kern w:val="0"/>
      <w:sz w:val="20"/>
      <w:szCs w:val="20"/>
      <w:lang w:val="en-IE" w:eastAsia="ja-JP"/>
      <w14:ligatures w14:val="none"/>
    </w:rPr>
  </w:style>
  <w:style w:type="paragraph" w:customStyle="1" w:styleId="P1">
    <w:name w:val="P1"/>
    <w:basedOn w:val="Normal"/>
    <w:qFormat/>
    <w:rsid w:val="005C1AC4"/>
    <w:pPr>
      <w:spacing w:after="240"/>
      <w:jc w:val="both"/>
    </w:pPr>
    <w:rPr>
      <w:rFonts w:eastAsia="Times New Roman" w:cs="Times New Roman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5C1AC4"/>
    <w:rPr>
      <w:rFonts w:ascii="Times New Roman" w:hAnsi="Times New Roman" w:cs="Times New Roman" w:hint="default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E6F"/>
    <w:pPr>
      <w:spacing w:after="0"/>
    </w:pPr>
    <w:rPr>
      <w:rFonts w:ascii="Arial" w:eastAsiaTheme="minorEastAsia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E6F"/>
    <w:rPr>
      <w:rFonts w:ascii="Arial" w:eastAsiaTheme="minorEastAsia" w:hAnsi="Arial" w:cs="Times New Roman"/>
      <w:b/>
      <w:bCs/>
      <w:kern w:val="0"/>
      <w:sz w:val="20"/>
      <w:szCs w:val="20"/>
      <w:lang w:val="en-IE" w:eastAsia="ja-JP"/>
      <w14:ligatures w14:val="none"/>
    </w:rPr>
  </w:style>
  <w:style w:type="paragraph" w:styleId="Revision">
    <w:name w:val="Revision"/>
    <w:hidden/>
    <w:uiPriority w:val="99"/>
    <w:semiHidden/>
    <w:rsid w:val="000446B2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IE"/>
      <w14:ligatures w14:val="none"/>
    </w:rPr>
  </w:style>
  <w:style w:type="table" w:styleId="TableGrid">
    <w:name w:val="Table Grid"/>
    <w:basedOn w:val="TableNormal"/>
    <w:uiPriority w:val="59"/>
    <w:rsid w:val="00D03FAA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62A62FC2A844D80ED28D2ACFD5EB6" ma:contentTypeVersion="2" ma:contentTypeDescription="Create a new document." ma:contentTypeScope="" ma:versionID="1e6511d047f0d518068ba956e27069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86d79f096a99cb3dfaa0cf3e1543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OCRLast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OCRLastProcessed" ma:index="10" nillable="true" ma:displayName="OCR Last Processed" ma:format="DateTime" ma:hidden="true" ma:internalName="OCRLastProcess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CRLastProcessed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DDB07-79F0-457F-BC2A-53650B25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A7E66-A673-4C77-92B5-0425AE34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2E420-699F-4B4D-AC3C-754F58E52B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993A94-1700-4B8B-8A53-F6197D4B5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Pensions Authority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O'Sullivan (Pensions Authority)</dc:creator>
  <cp:keywords/>
  <dc:description/>
  <cp:lastModifiedBy>Aideen Bugler (Pensions Authority)</cp:lastModifiedBy>
  <cp:revision>3</cp:revision>
  <cp:lastPrinted>2024-06-18T09:04:00Z</cp:lastPrinted>
  <dcterms:created xsi:type="dcterms:W3CDTF">2026-04-23T10:31:00Z</dcterms:created>
  <dcterms:modified xsi:type="dcterms:W3CDTF">2026-04-23T10:32:00Z</dcterms:modified>
</cp:coreProperties>
</file>