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CE3F3" w14:textId="719C0CBB" w:rsidR="006868EF" w:rsidRDefault="00FB5530" w:rsidP="00A168BD">
      <w:pPr>
        <w:spacing w:after="254" w:line="276" w:lineRule="auto"/>
        <w:ind w:left="61" w:right="0" w:firstLine="0"/>
        <w:jc w:val="center"/>
      </w:pPr>
      <w:r>
        <w:rPr>
          <w:b/>
        </w:rPr>
        <w:t xml:space="preserve"> </w:t>
      </w:r>
    </w:p>
    <w:p w14:paraId="77C1D723" w14:textId="77777777" w:rsidR="006868EF" w:rsidRDefault="00FB5530" w:rsidP="00A168BD">
      <w:pPr>
        <w:spacing w:after="273" w:line="276" w:lineRule="auto"/>
        <w:ind w:left="62" w:right="0" w:firstLine="0"/>
        <w:jc w:val="center"/>
      </w:pPr>
      <w:r>
        <w:rPr>
          <w:b/>
        </w:rPr>
        <w:t xml:space="preserve"> </w:t>
      </w:r>
    </w:p>
    <w:p w14:paraId="217C5202" w14:textId="77777777" w:rsidR="00A23D47" w:rsidRDefault="00A23D47">
      <w:pPr>
        <w:spacing w:after="273" w:line="276" w:lineRule="auto"/>
        <w:ind w:left="62" w:right="0" w:firstLine="0"/>
        <w:jc w:val="center"/>
        <w:rPr>
          <w:b/>
        </w:rPr>
      </w:pPr>
    </w:p>
    <w:p w14:paraId="010DC656" w14:textId="77777777" w:rsidR="00A23D47" w:rsidRDefault="00A23D47">
      <w:pPr>
        <w:spacing w:after="273" w:line="276" w:lineRule="auto"/>
        <w:ind w:left="62" w:right="0" w:firstLine="0"/>
        <w:jc w:val="center"/>
        <w:rPr>
          <w:b/>
        </w:rPr>
      </w:pPr>
    </w:p>
    <w:p w14:paraId="70882F82" w14:textId="77777777" w:rsidR="00A23D47" w:rsidRDefault="00A23D47">
      <w:pPr>
        <w:spacing w:after="273" w:line="276" w:lineRule="auto"/>
        <w:ind w:left="62" w:right="0" w:firstLine="0"/>
        <w:jc w:val="center"/>
        <w:rPr>
          <w:b/>
        </w:rPr>
      </w:pPr>
    </w:p>
    <w:p w14:paraId="0908EE9C" w14:textId="77777777" w:rsidR="00A23D47" w:rsidRDefault="00A23D47">
      <w:pPr>
        <w:spacing w:after="273" w:line="276" w:lineRule="auto"/>
        <w:ind w:left="62" w:right="0" w:firstLine="0"/>
        <w:jc w:val="center"/>
        <w:rPr>
          <w:b/>
        </w:rPr>
      </w:pPr>
    </w:p>
    <w:p w14:paraId="62674F33" w14:textId="07D4C7FD" w:rsidR="006868EF" w:rsidRDefault="00FB5530" w:rsidP="00A168BD">
      <w:pPr>
        <w:spacing w:after="273" w:line="276" w:lineRule="auto"/>
        <w:ind w:left="62" w:right="0" w:firstLine="0"/>
        <w:jc w:val="center"/>
      </w:pPr>
      <w:r>
        <w:rPr>
          <w:b/>
        </w:rPr>
        <w:t xml:space="preserve"> </w:t>
      </w:r>
    </w:p>
    <w:p w14:paraId="0EA6AC48" w14:textId="77777777" w:rsidR="008B3939" w:rsidRDefault="008B3939" w:rsidP="008B3939">
      <w:pPr>
        <w:spacing w:after="0" w:line="276" w:lineRule="auto"/>
        <w:ind w:left="0" w:right="0" w:firstLine="0"/>
        <w:jc w:val="left"/>
      </w:pPr>
    </w:p>
    <w:p w14:paraId="2B2C0DF0" w14:textId="4C2C6ED6" w:rsidR="008B3939" w:rsidRPr="000D0D42" w:rsidRDefault="008B3939" w:rsidP="008B3939">
      <w:pPr>
        <w:pStyle w:val="Title"/>
      </w:pPr>
      <w:r w:rsidRPr="000D0D42">
        <w:t xml:space="preserve">Guidance </w:t>
      </w:r>
      <w:proofErr w:type="gramStart"/>
      <w:r w:rsidRPr="000D0D42">
        <w:t>note</w:t>
      </w:r>
      <w:proofErr w:type="gramEnd"/>
      <w:r w:rsidRPr="000D0D42">
        <w:t xml:space="preserve"> on the</w:t>
      </w:r>
      <w:r>
        <w:t xml:space="preserve"> </w:t>
      </w:r>
      <w:r w:rsidRPr="00F32EA2">
        <w:t>European Union (Supplementary Pension Rights) Regulations</w:t>
      </w:r>
      <w:r w:rsidR="00695AAA">
        <w:t>,</w:t>
      </w:r>
      <w:r w:rsidRPr="00F32EA2">
        <w:t xml:space="preserve"> 2019</w:t>
      </w:r>
    </w:p>
    <w:p w14:paraId="3056508A" w14:textId="77777777" w:rsidR="006868EF" w:rsidRDefault="00FB5530" w:rsidP="00A168BD">
      <w:pPr>
        <w:spacing w:after="273" w:line="276" w:lineRule="auto"/>
        <w:ind w:left="62" w:right="0" w:firstLine="0"/>
        <w:jc w:val="center"/>
      </w:pPr>
      <w:r>
        <w:rPr>
          <w:b/>
        </w:rPr>
        <w:t xml:space="preserve"> </w:t>
      </w:r>
    </w:p>
    <w:p w14:paraId="7A5C7F04" w14:textId="77777777" w:rsidR="006868EF" w:rsidRDefault="00FB5530" w:rsidP="00A168BD">
      <w:pPr>
        <w:spacing w:after="273" w:line="276" w:lineRule="auto"/>
        <w:ind w:left="62" w:right="0" w:firstLine="0"/>
        <w:jc w:val="center"/>
      </w:pPr>
      <w:r>
        <w:rPr>
          <w:b/>
        </w:rPr>
        <w:t xml:space="preserve"> </w:t>
      </w:r>
    </w:p>
    <w:p w14:paraId="031EFBBA" w14:textId="02EC412F" w:rsidR="00A23D47" w:rsidRDefault="00A23D47">
      <w:pPr>
        <w:spacing w:after="273" w:line="276" w:lineRule="auto"/>
        <w:ind w:left="62" w:right="0" w:firstLine="0"/>
        <w:jc w:val="center"/>
        <w:rPr>
          <w:b/>
        </w:rPr>
      </w:pPr>
    </w:p>
    <w:p w14:paraId="3C8D48F8" w14:textId="77777777" w:rsidR="00A23D47" w:rsidRDefault="00A23D47">
      <w:pPr>
        <w:spacing w:after="273" w:line="276" w:lineRule="auto"/>
        <w:ind w:left="62" w:right="0" w:firstLine="0"/>
        <w:jc w:val="center"/>
        <w:rPr>
          <w:b/>
        </w:rPr>
      </w:pPr>
    </w:p>
    <w:p w14:paraId="7F2543E3" w14:textId="77777777" w:rsidR="00A23D47" w:rsidRDefault="00A23D47">
      <w:pPr>
        <w:spacing w:after="273" w:line="276" w:lineRule="auto"/>
        <w:ind w:left="62" w:right="0" w:firstLine="0"/>
        <w:jc w:val="center"/>
        <w:rPr>
          <w:b/>
        </w:rPr>
      </w:pPr>
    </w:p>
    <w:p w14:paraId="4981C832" w14:textId="07327A75" w:rsidR="006868EF" w:rsidRDefault="00FB5530" w:rsidP="00A168BD">
      <w:pPr>
        <w:spacing w:after="273" w:line="276" w:lineRule="auto"/>
        <w:ind w:left="62" w:right="0" w:firstLine="0"/>
        <w:jc w:val="center"/>
      </w:pPr>
      <w:r>
        <w:rPr>
          <w:b/>
        </w:rPr>
        <w:t xml:space="preserve"> </w:t>
      </w:r>
    </w:p>
    <w:tbl>
      <w:tblPr>
        <w:tblStyle w:val="TableGrid"/>
        <w:tblW w:w="0" w:type="auto"/>
        <w:tblLook w:val="04A0" w:firstRow="1" w:lastRow="0" w:firstColumn="1" w:lastColumn="0" w:noHBand="0" w:noVBand="1"/>
      </w:tblPr>
      <w:tblGrid>
        <w:gridCol w:w="9242"/>
      </w:tblGrid>
      <w:tr w:rsidR="008566F4" w14:paraId="12037154" w14:textId="77777777" w:rsidTr="0018610A">
        <w:tc>
          <w:tcPr>
            <w:tcW w:w="9242" w:type="dxa"/>
            <w:tcBorders>
              <w:top w:val="single" w:sz="12" w:space="0" w:color="auto"/>
              <w:left w:val="single" w:sz="12" w:space="0" w:color="auto"/>
              <w:bottom w:val="single" w:sz="12" w:space="0" w:color="auto"/>
              <w:right w:val="single" w:sz="12" w:space="0" w:color="auto"/>
            </w:tcBorders>
          </w:tcPr>
          <w:p w14:paraId="1241DBAA" w14:textId="6C8BEA3E" w:rsidR="008566F4" w:rsidRPr="00D415F8" w:rsidRDefault="008566F4" w:rsidP="00A168BD">
            <w:pPr>
              <w:spacing w:before="240" w:line="276" w:lineRule="auto"/>
              <w:ind w:left="164" w:right="95"/>
              <w:rPr>
                <w:b/>
                <w:iCs/>
                <w:lang w:eastAsia="en-IE"/>
              </w:rPr>
            </w:pPr>
            <w:r w:rsidRPr="00D415F8">
              <w:rPr>
                <w:b/>
                <w:iCs/>
                <w:lang w:eastAsia="en-IE"/>
              </w:rPr>
              <w:t>Disclaimer</w:t>
            </w:r>
          </w:p>
          <w:p w14:paraId="1970A8AB" w14:textId="3E11425E" w:rsidR="008566F4" w:rsidRPr="00A168BD" w:rsidRDefault="008566F4" w:rsidP="008566F4">
            <w:pPr>
              <w:spacing w:line="276" w:lineRule="auto"/>
              <w:ind w:left="164" w:right="95"/>
            </w:pPr>
            <w:r w:rsidRPr="00D415F8">
              <w:rPr>
                <w:iCs/>
                <w:lang w:eastAsia="en-IE"/>
              </w:rPr>
              <w:t xml:space="preserve">The Pensions Authority have made every effort to ensure that this </w:t>
            </w:r>
            <w:r>
              <w:rPr>
                <w:iCs/>
                <w:lang w:eastAsia="en-IE"/>
              </w:rPr>
              <w:t>document</w:t>
            </w:r>
            <w:r w:rsidRPr="00D415F8">
              <w:rPr>
                <w:iCs/>
                <w:lang w:eastAsia="en-IE"/>
              </w:rPr>
              <w:t xml:space="preserve"> is correct. However, no liability whatsoever is accepted by the Pensions Authority, its servants or agents for any errors or omissions in the information contained in this </w:t>
            </w:r>
            <w:r>
              <w:rPr>
                <w:iCs/>
                <w:lang w:eastAsia="en-IE"/>
              </w:rPr>
              <w:t>document</w:t>
            </w:r>
            <w:r w:rsidRPr="00D415F8">
              <w:rPr>
                <w:iCs/>
                <w:lang w:eastAsia="en-IE"/>
              </w:rPr>
              <w:t xml:space="preserve"> or for any loss occasioned to any person acting or refraining from acting </w:t>
            </w:r>
            <w:proofErr w:type="gramStart"/>
            <w:r w:rsidRPr="00D415F8">
              <w:rPr>
                <w:iCs/>
                <w:lang w:eastAsia="en-IE"/>
              </w:rPr>
              <w:t>as a result of</w:t>
            </w:r>
            <w:proofErr w:type="gramEnd"/>
            <w:r w:rsidRPr="00D415F8">
              <w:rPr>
                <w:iCs/>
                <w:lang w:eastAsia="en-IE"/>
              </w:rPr>
              <w:t xml:space="preserve"> the information in this </w:t>
            </w:r>
            <w:r w:rsidR="00EC20CA">
              <w:rPr>
                <w:iCs/>
                <w:lang w:eastAsia="en-IE"/>
              </w:rPr>
              <w:t>document</w:t>
            </w:r>
            <w:r w:rsidRPr="00D415F8">
              <w:rPr>
                <w:iCs/>
                <w:lang w:eastAsia="en-IE"/>
              </w:rPr>
              <w:t>.</w:t>
            </w:r>
          </w:p>
        </w:tc>
      </w:tr>
    </w:tbl>
    <w:p w14:paraId="3CBCAAF4" w14:textId="77777777" w:rsidR="005F3FD3" w:rsidRDefault="005F3FD3">
      <w:pPr>
        <w:tabs>
          <w:tab w:val="center" w:pos="4852"/>
          <w:tab w:val="left" w:pos="6874"/>
        </w:tabs>
        <w:spacing w:after="273" w:line="276" w:lineRule="auto"/>
        <w:ind w:left="62" w:right="0" w:firstLine="0"/>
        <w:jc w:val="left"/>
        <w:rPr>
          <w:b/>
        </w:rPr>
      </w:pPr>
    </w:p>
    <w:p w14:paraId="60957D01" w14:textId="77777777" w:rsidR="005F3FD3" w:rsidRDefault="005F3FD3">
      <w:pPr>
        <w:tabs>
          <w:tab w:val="center" w:pos="4852"/>
          <w:tab w:val="left" w:pos="6874"/>
        </w:tabs>
        <w:spacing w:after="273" w:line="276" w:lineRule="auto"/>
        <w:ind w:left="62" w:right="0" w:firstLine="0"/>
        <w:jc w:val="left"/>
        <w:rPr>
          <w:b/>
        </w:rPr>
      </w:pPr>
    </w:p>
    <w:p w14:paraId="3971A16F" w14:textId="372BDD66" w:rsidR="008B3939" w:rsidRDefault="008566F4" w:rsidP="00A168BD">
      <w:pPr>
        <w:tabs>
          <w:tab w:val="center" w:pos="4852"/>
          <w:tab w:val="left" w:pos="6874"/>
        </w:tabs>
        <w:spacing w:after="273" w:line="276" w:lineRule="auto"/>
        <w:ind w:left="62" w:right="0" w:firstLine="0"/>
        <w:jc w:val="left"/>
      </w:pPr>
      <w:r>
        <w:rPr>
          <w:b/>
        </w:rPr>
        <w:lastRenderedPageBreak/>
        <w:tab/>
      </w:r>
      <w:r w:rsidR="00FB5530">
        <w:rPr>
          <w:b/>
        </w:rPr>
        <w:t xml:space="preserve"> </w:t>
      </w:r>
      <w:r>
        <w:tab/>
      </w:r>
    </w:p>
    <w:sdt>
      <w:sdtPr>
        <w:rPr>
          <w:b/>
          <w:bCs/>
          <w:iCs/>
          <w:lang w:val="en-GB"/>
        </w:rPr>
        <w:id w:val="-1826341440"/>
        <w:docPartObj>
          <w:docPartGallery w:val="Table of Contents"/>
          <w:docPartUnique/>
        </w:docPartObj>
      </w:sdtPr>
      <w:sdtEndPr>
        <w:rPr>
          <w:b w:val="0"/>
          <w:bCs w:val="0"/>
          <w:iCs w:val="0"/>
        </w:rPr>
      </w:sdtEndPr>
      <w:sdtContent>
        <w:p w14:paraId="227878BC" w14:textId="1170CF72" w:rsidR="008B3939" w:rsidRPr="00A168BD" w:rsidRDefault="008B3939" w:rsidP="00A168BD">
          <w:pPr>
            <w:spacing w:after="273" w:line="276" w:lineRule="auto"/>
            <w:ind w:left="0" w:right="0" w:firstLine="0"/>
            <w:jc w:val="left"/>
            <w:rPr>
              <w:b/>
              <w:bCs/>
            </w:rPr>
          </w:pPr>
          <w:r w:rsidRPr="00A168BD">
            <w:rPr>
              <w:b/>
              <w:bCs/>
              <w:sz w:val="32"/>
              <w:szCs w:val="32"/>
              <w:lang w:val="en-GB"/>
            </w:rPr>
            <w:t xml:space="preserve">Table of </w:t>
          </w:r>
          <w:r w:rsidR="00A23D47" w:rsidRPr="00A168BD">
            <w:rPr>
              <w:b/>
              <w:bCs/>
              <w:sz w:val="32"/>
              <w:szCs w:val="32"/>
              <w:lang w:val="en-GB"/>
            </w:rPr>
            <w:t>c</w:t>
          </w:r>
          <w:r w:rsidRPr="00A168BD">
            <w:rPr>
              <w:b/>
              <w:bCs/>
              <w:sz w:val="32"/>
              <w:szCs w:val="32"/>
              <w:lang w:val="en-GB"/>
            </w:rPr>
            <w:t>ontents</w:t>
          </w:r>
        </w:p>
        <w:p w14:paraId="377573A8" w14:textId="4F5BDDDB" w:rsidR="00A23D47" w:rsidRDefault="008B3939">
          <w:pPr>
            <w:pStyle w:val="TOC1"/>
            <w:rPr>
              <w:rFonts w:asciiTheme="minorHAnsi" w:eastAsiaTheme="minorEastAsia" w:hAnsiTheme="minorHAnsi" w:cstheme="minorBidi"/>
              <w:noProof/>
              <w:color w:val="auto"/>
              <w:sz w:val="22"/>
              <w:lang w:val="en-IE" w:eastAsia="en-IE"/>
            </w:rPr>
          </w:pPr>
          <w:r>
            <w:fldChar w:fldCharType="begin"/>
          </w:r>
          <w:r>
            <w:instrText xml:space="preserve"> TOC \o "1-3" \h \z \u </w:instrText>
          </w:r>
          <w:r>
            <w:fldChar w:fldCharType="separate"/>
          </w:r>
          <w:hyperlink w:anchor="_Toc130906090" w:history="1">
            <w:r w:rsidR="00A23D47" w:rsidRPr="005E6337">
              <w:rPr>
                <w:rStyle w:val="Hyperlink"/>
                <w:noProof/>
              </w:rPr>
              <w:t>Introduction</w:t>
            </w:r>
            <w:r w:rsidR="00A23D47">
              <w:rPr>
                <w:noProof/>
                <w:webHidden/>
              </w:rPr>
              <w:tab/>
            </w:r>
            <w:r w:rsidR="00A23D47">
              <w:rPr>
                <w:noProof/>
                <w:webHidden/>
              </w:rPr>
              <w:fldChar w:fldCharType="begin"/>
            </w:r>
            <w:r w:rsidR="00A23D47">
              <w:rPr>
                <w:noProof/>
                <w:webHidden/>
              </w:rPr>
              <w:instrText xml:space="preserve"> PAGEREF _Toc130906090 \h </w:instrText>
            </w:r>
            <w:r w:rsidR="00A23D47">
              <w:rPr>
                <w:noProof/>
                <w:webHidden/>
              </w:rPr>
            </w:r>
            <w:r w:rsidR="00A23D47">
              <w:rPr>
                <w:noProof/>
                <w:webHidden/>
              </w:rPr>
              <w:fldChar w:fldCharType="separate"/>
            </w:r>
            <w:r w:rsidR="003D7B96">
              <w:rPr>
                <w:noProof/>
                <w:webHidden/>
              </w:rPr>
              <w:t>3</w:t>
            </w:r>
            <w:r w:rsidR="00A23D47">
              <w:rPr>
                <w:noProof/>
                <w:webHidden/>
              </w:rPr>
              <w:fldChar w:fldCharType="end"/>
            </w:r>
          </w:hyperlink>
        </w:p>
        <w:p w14:paraId="2FE2B4C5" w14:textId="45398BEB" w:rsidR="00A23D47" w:rsidRDefault="00A23D47">
          <w:pPr>
            <w:pStyle w:val="TOC1"/>
            <w:rPr>
              <w:rFonts w:asciiTheme="minorHAnsi" w:eastAsiaTheme="minorEastAsia" w:hAnsiTheme="minorHAnsi" w:cstheme="minorBidi"/>
              <w:noProof/>
              <w:color w:val="auto"/>
              <w:sz w:val="22"/>
              <w:lang w:val="en-IE" w:eastAsia="en-IE"/>
            </w:rPr>
          </w:pPr>
          <w:hyperlink w:anchor="_Toc130906091" w:history="1">
            <w:r w:rsidRPr="005E6337">
              <w:rPr>
                <w:rStyle w:val="Hyperlink"/>
                <w:noProof/>
              </w:rPr>
              <w:t>Summary of the Regulations</w:t>
            </w:r>
            <w:r>
              <w:rPr>
                <w:noProof/>
                <w:webHidden/>
              </w:rPr>
              <w:tab/>
            </w:r>
            <w:r>
              <w:rPr>
                <w:noProof/>
                <w:webHidden/>
              </w:rPr>
              <w:fldChar w:fldCharType="begin"/>
            </w:r>
            <w:r>
              <w:rPr>
                <w:noProof/>
                <w:webHidden/>
              </w:rPr>
              <w:instrText xml:space="preserve"> PAGEREF _Toc130906091 \h </w:instrText>
            </w:r>
            <w:r>
              <w:rPr>
                <w:noProof/>
                <w:webHidden/>
              </w:rPr>
            </w:r>
            <w:r>
              <w:rPr>
                <w:noProof/>
                <w:webHidden/>
              </w:rPr>
              <w:fldChar w:fldCharType="separate"/>
            </w:r>
            <w:r w:rsidR="003D7B96">
              <w:rPr>
                <w:noProof/>
                <w:webHidden/>
              </w:rPr>
              <w:t>3</w:t>
            </w:r>
            <w:r>
              <w:rPr>
                <w:noProof/>
                <w:webHidden/>
              </w:rPr>
              <w:fldChar w:fldCharType="end"/>
            </w:r>
          </w:hyperlink>
        </w:p>
        <w:p w14:paraId="273DC102" w14:textId="288DBCE9" w:rsidR="00A23D47" w:rsidRDefault="00A23D47">
          <w:pPr>
            <w:pStyle w:val="TOC1"/>
            <w:rPr>
              <w:rFonts w:asciiTheme="minorHAnsi" w:eastAsiaTheme="minorEastAsia" w:hAnsiTheme="minorHAnsi" w:cstheme="minorBidi"/>
              <w:noProof/>
              <w:color w:val="auto"/>
              <w:sz w:val="22"/>
              <w:lang w:val="en-IE" w:eastAsia="en-IE"/>
            </w:rPr>
          </w:pPr>
          <w:hyperlink w:anchor="_Toc130906092" w:history="1">
            <w:r w:rsidRPr="005E6337">
              <w:rPr>
                <w:rStyle w:val="Hyperlink"/>
                <w:noProof/>
              </w:rPr>
              <w:t>What schemes do the Regulations apply to?</w:t>
            </w:r>
            <w:r>
              <w:rPr>
                <w:noProof/>
                <w:webHidden/>
              </w:rPr>
              <w:tab/>
            </w:r>
            <w:r>
              <w:rPr>
                <w:noProof/>
                <w:webHidden/>
              </w:rPr>
              <w:fldChar w:fldCharType="begin"/>
            </w:r>
            <w:r>
              <w:rPr>
                <w:noProof/>
                <w:webHidden/>
              </w:rPr>
              <w:instrText xml:space="preserve"> PAGEREF _Toc130906092 \h </w:instrText>
            </w:r>
            <w:r>
              <w:rPr>
                <w:noProof/>
                <w:webHidden/>
              </w:rPr>
            </w:r>
            <w:r>
              <w:rPr>
                <w:noProof/>
                <w:webHidden/>
              </w:rPr>
              <w:fldChar w:fldCharType="separate"/>
            </w:r>
            <w:r w:rsidR="003D7B96">
              <w:rPr>
                <w:noProof/>
                <w:webHidden/>
              </w:rPr>
              <w:t>4</w:t>
            </w:r>
            <w:r>
              <w:rPr>
                <w:noProof/>
                <w:webHidden/>
              </w:rPr>
              <w:fldChar w:fldCharType="end"/>
            </w:r>
          </w:hyperlink>
        </w:p>
        <w:p w14:paraId="07224298" w14:textId="51A076FA" w:rsidR="00A23D47" w:rsidRDefault="00A23D47">
          <w:pPr>
            <w:pStyle w:val="TOC1"/>
            <w:rPr>
              <w:rFonts w:asciiTheme="minorHAnsi" w:eastAsiaTheme="minorEastAsia" w:hAnsiTheme="minorHAnsi" w:cstheme="minorBidi"/>
              <w:noProof/>
              <w:color w:val="auto"/>
              <w:sz w:val="22"/>
              <w:lang w:val="en-IE" w:eastAsia="en-IE"/>
            </w:rPr>
          </w:pPr>
          <w:hyperlink w:anchor="_Toc130906093" w:history="1">
            <w:r w:rsidRPr="005E6337">
              <w:rPr>
                <w:rStyle w:val="Hyperlink"/>
                <w:noProof/>
              </w:rPr>
              <w:t>What persons do the Regulations apply to?</w:t>
            </w:r>
            <w:r>
              <w:rPr>
                <w:noProof/>
                <w:webHidden/>
              </w:rPr>
              <w:tab/>
            </w:r>
            <w:r>
              <w:rPr>
                <w:noProof/>
                <w:webHidden/>
              </w:rPr>
              <w:fldChar w:fldCharType="begin"/>
            </w:r>
            <w:r>
              <w:rPr>
                <w:noProof/>
                <w:webHidden/>
              </w:rPr>
              <w:instrText xml:space="preserve"> PAGEREF _Toc130906093 \h </w:instrText>
            </w:r>
            <w:r>
              <w:rPr>
                <w:noProof/>
                <w:webHidden/>
              </w:rPr>
            </w:r>
            <w:r>
              <w:rPr>
                <w:noProof/>
                <w:webHidden/>
              </w:rPr>
              <w:fldChar w:fldCharType="separate"/>
            </w:r>
            <w:r w:rsidR="003D7B96">
              <w:rPr>
                <w:noProof/>
                <w:webHidden/>
              </w:rPr>
              <w:t>4</w:t>
            </w:r>
            <w:r>
              <w:rPr>
                <w:noProof/>
                <w:webHidden/>
              </w:rPr>
              <w:fldChar w:fldCharType="end"/>
            </w:r>
          </w:hyperlink>
        </w:p>
        <w:p w14:paraId="48618507" w14:textId="3845B729" w:rsidR="00A23D47" w:rsidRDefault="003D7B96">
          <w:pPr>
            <w:pStyle w:val="TOC1"/>
            <w:rPr>
              <w:rFonts w:asciiTheme="minorHAnsi" w:eastAsiaTheme="minorEastAsia" w:hAnsiTheme="minorHAnsi" w:cstheme="minorBidi"/>
              <w:noProof/>
              <w:color w:val="auto"/>
              <w:sz w:val="22"/>
              <w:lang w:val="en-IE" w:eastAsia="en-IE"/>
            </w:rPr>
          </w:pPr>
          <w:hyperlink w:anchor="_Toc130906094" w:history="1">
            <w:r w:rsidR="00A23D47" w:rsidRPr="005E6337">
              <w:rPr>
                <w:rStyle w:val="Hyperlink"/>
                <w:noProof/>
              </w:rPr>
              <w:t>Determining whether a person is an Outgoing Worker</w:t>
            </w:r>
            <w:r w:rsidR="00A23D47">
              <w:rPr>
                <w:noProof/>
                <w:webHidden/>
              </w:rPr>
              <w:tab/>
            </w:r>
            <w:r w:rsidR="00A23D47">
              <w:rPr>
                <w:noProof/>
                <w:webHidden/>
              </w:rPr>
              <w:fldChar w:fldCharType="begin"/>
            </w:r>
            <w:r w:rsidR="00A23D47">
              <w:rPr>
                <w:noProof/>
                <w:webHidden/>
              </w:rPr>
              <w:instrText xml:space="preserve"> PAGEREF _Toc130906094 \h </w:instrText>
            </w:r>
            <w:r w:rsidR="00A23D47">
              <w:rPr>
                <w:noProof/>
                <w:webHidden/>
              </w:rPr>
            </w:r>
            <w:r w:rsidR="00A23D47">
              <w:rPr>
                <w:noProof/>
                <w:webHidden/>
              </w:rPr>
              <w:fldChar w:fldCharType="separate"/>
            </w:r>
            <w:r>
              <w:rPr>
                <w:noProof/>
                <w:webHidden/>
              </w:rPr>
              <w:t>5</w:t>
            </w:r>
            <w:r w:rsidR="00A23D47">
              <w:rPr>
                <w:noProof/>
                <w:webHidden/>
              </w:rPr>
              <w:fldChar w:fldCharType="end"/>
            </w:r>
          </w:hyperlink>
        </w:p>
        <w:p w14:paraId="60394624" w14:textId="53E6F931" w:rsidR="00A23D47" w:rsidRDefault="00A23D47">
          <w:pPr>
            <w:pStyle w:val="TOC2"/>
            <w:tabs>
              <w:tab w:val="right" w:leader="dot" w:pos="9633"/>
            </w:tabs>
            <w:rPr>
              <w:rFonts w:asciiTheme="minorHAnsi" w:eastAsiaTheme="minorEastAsia" w:hAnsiTheme="minorHAnsi" w:cstheme="minorBidi"/>
              <w:noProof/>
              <w:color w:val="auto"/>
              <w:sz w:val="22"/>
              <w:lang w:val="en-IE" w:eastAsia="en-IE"/>
            </w:rPr>
          </w:pPr>
          <w:hyperlink w:anchor="_Toc130906095" w:history="1">
            <w:r w:rsidRPr="005E6337">
              <w:rPr>
                <w:rStyle w:val="Hyperlink"/>
                <w:noProof/>
              </w:rPr>
              <w:t>Commencing service</w:t>
            </w:r>
            <w:r>
              <w:rPr>
                <w:noProof/>
                <w:webHidden/>
              </w:rPr>
              <w:tab/>
            </w:r>
            <w:r>
              <w:rPr>
                <w:noProof/>
                <w:webHidden/>
              </w:rPr>
              <w:fldChar w:fldCharType="begin"/>
            </w:r>
            <w:r>
              <w:rPr>
                <w:noProof/>
                <w:webHidden/>
              </w:rPr>
              <w:instrText xml:space="preserve"> PAGEREF _Toc130906095 \h </w:instrText>
            </w:r>
            <w:r>
              <w:rPr>
                <w:noProof/>
                <w:webHidden/>
              </w:rPr>
            </w:r>
            <w:r>
              <w:rPr>
                <w:noProof/>
                <w:webHidden/>
              </w:rPr>
              <w:fldChar w:fldCharType="separate"/>
            </w:r>
            <w:r w:rsidR="003D7B96">
              <w:rPr>
                <w:noProof/>
                <w:webHidden/>
              </w:rPr>
              <w:t>5</w:t>
            </w:r>
            <w:r>
              <w:rPr>
                <w:noProof/>
                <w:webHidden/>
              </w:rPr>
              <w:fldChar w:fldCharType="end"/>
            </w:r>
          </w:hyperlink>
        </w:p>
        <w:p w14:paraId="1044C2CD" w14:textId="2208E40C" w:rsidR="00A23D47" w:rsidRDefault="00A23D47">
          <w:pPr>
            <w:pStyle w:val="TOC2"/>
            <w:tabs>
              <w:tab w:val="right" w:leader="dot" w:pos="9633"/>
            </w:tabs>
            <w:rPr>
              <w:rFonts w:asciiTheme="minorHAnsi" w:eastAsiaTheme="minorEastAsia" w:hAnsiTheme="minorHAnsi" w:cstheme="minorBidi"/>
              <w:noProof/>
              <w:color w:val="auto"/>
              <w:sz w:val="22"/>
              <w:lang w:val="en-IE" w:eastAsia="en-IE"/>
            </w:rPr>
          </w:pPr>
          <w:hyperlink w:anchor="_Toc130906096" w:history="1">
            <w:r w:rsidRPr="005E6337">
              <w:rPr>
                <w:rStyle w:val="Hyperlink"/>
                <w:noProof/>
              </w:rPr>
              <w:t>Leaving service</w:t>
            </w:r>
            <w:r>
              <w:rPr>
                <w:noProof/>
                <w:webHidden/>
              </w:rPr>
              <w:tab/>
            </w:r>
            <w:r>
              <w:rPr>
                <w:noProof/>
                <w:webHidden/>
              </w:rPr>
              <w:fldChar w:fldCharType="begin"/>
            </w:r>
            <w:r>
              <w:rPr>
                <w:noProof/>
                <w:webHidden/>
              </w:rPr>
              <w:instrText xml:space="preserve"> PAGEREF _Toc130906096 \h </w:instrText>
            </w:r>
            <w:r>
              <w:rPr>
                <w:noProof/>
                <w:webHidden/>
              </w:rPr>
            </w:r>
            <w:r>
              <w:rPr>
                <w:noProof/>
                <w:webHidden/>
              </w:rPr>
              <w:fldChar w:fldCharType="separate"/>
            </w:r>
            <w:r w:rsidR="003D7B96">
              <w:rPr>
                <w:noProof/>
                <w:webHidden/>
              </w:rPr>
              <w:t>6</w:t>
            </w:r>
            <w:r>
              <w:rPr>
                <w:noProof/>
                <w:webHidden/>
              </w:rPr>
              <w:fldChar w:fldCharType="end"/>
            </w:r>
          </w:hyperlink>
        </w:p>
        <w:p w14:paraId="38F1DF48" w14:textId="0014F6D1" w:rsidR="00A23D47" w:rsidRDefault="00A23D47">
          <w:pPr>
            <w:pStyle w:val="TOC2"/>
            <w:tabs>
              <w:tab w:val="right" w:leader="dot" w:pos="9633"/>
            </w:tabs>
            <w:rPr>
              <w:rFonts w:asciiTheme="minorHAnsi" w:eastAsiaTheme="minorEastAsia" w:hAnsiTheme="minorHAnsi" w:cstheme="minorBidi"/>
              <w:noProof/>
              <w:color w:val="auto"/>
              <w:sz w:val="22"/>
              <w:lang w:val="en-IE" w:eastAsia="en-IE"/>
            </w:rPr>
          </w:pPr>
          <w:hyperlink w:anchor="_Toc130906097" w:history="1">
            <w:r w:rsidRPr="005E6337">
              <w:rPr>
                <w:rStyle w:val="Hyperlink"/>
                <w:noProof/>
              </w:rPr>
              <w:t>When is a person an Outgoing Worker on leaving service?</w:t>
            </w:r>
            <w:r>
              <w:rPr>
                <w:noProof/>
                <w:webHidden/>
              </w:rPr>
              <w:tab/>
            </w:r>
            <w:r>
              <w:rPr>
                <w:noProof/>
                <w:webHidden/>
              </w:rPr>
              <w:fldChar w:fldCharType="begin"/>
            </w:r>
            <w:r>
              <w:rPr>
                <w:noProof/>
                <w:webHidden/>
              </w:rPr>
              <w:instrText xml:space="preserve"> PAGEREF _Toc130906097 \h </w:instrText>
            </w:r>
            <w:r>
              <w:rPr>
                <w:noProof/>
                <w:webHidden/>
              </w:rPr>
            </w:r>
            <w:r>
              <w:rPr>
                <w:noProof/>
                <w:webHidden/>
              </w:rPr>
              <w:fldChar w:fldCharType="separate"/>
            </w:r>
            <w:r w:rsidR="003D7B96">
              <w:rPr>
                <w:noProof/>
                <w:webHidden/>
              </w:rPr>
              <w:t>6</w:t>
            </w:r>
            <w:r>
              <w:rPr>
                <w:noProof/>
                <w:webHidden/>
              </w:rPr>
              <w:fldChar w:fldCharType="end"/>
            </w:r>
          </w:hyperlink>
        </w:p>
        <w:p w14:paraId="320F9876" w14:textId="17A60FB0" w:rsidR="00A23D47" w:rsidRDefault="00A23D47">
          <w:pPr>
            <w:pStyle w:val="TOC1"/>
            <w:rPr>
              <w:rFonts w:asciiTheme="minorHAnsi" w:eastAsiaTheme="minorEastAsia" w:hAnsiTheme="minorHAnsi" w:cstheme="minorBidi"/>
              <w:noProof/>
              <w:color w:val="auto"/>
              <w:sz w:val="22"/>
              <w:lang w:val="en-IE" w:eastAsia="en-IE"/>
            </w:rPr>
          </w:pPr>
          <w:hyperlink w:anchor="_Toc130906098" w:history="1">
            <w:r w:rsidRPr="005E6337">
              <w:rPr>
                <w:rStyle w:val="Hyperlink"/>
                <w:noProof/>
              </w:rPr>
              <w:t>Rights and protections afforded to an Outgoing Worker under the Regulations</w:t>
            </w:r>
            <w:r>
              <w:rPr>
                <w:noProof/>
                <w:webHidden/>
              </w:rPr>
              <w:tab/>
            </w:r>
            <w:r>
              <w:rPr>
                <w:noProof/>
                <w:webHidden/>
              </w:rPr>
              <w:fldChar w:fldCharType="begin"/>
            </w:r>
            <w:r>
              <w:rPr>
                <w:noProof/>
                <w:webHidden/>
              </w:rPr>
              <w:instrText xml:space="preserve"> PAGEREF _Toc130906098 \h </w:instrText>
            </w:r>
            <w:r>
              <w:rPr>
                <w:noProof/>
                <w:webHidden/>
              </w:rPr>
            </w:r>
            <w:r>
              <w:rPr>
                <w:noProof/>
                <w:webHidden/>
              </w:rPr>
              <w:fldChar w:fldCharType="separate"/>
            </w:r>
            <w:r w:rsidR="003D7B96">
              <w:rPr>
                <w:noProof/>
                <w:webHidden/>
              </w:rPr>
              <w:t>7</w:t>
            </w:r>
            <w:r>
              <w:rPr>
                <w:noProof/>
                <w:webHidden/>
              </w:rPr>
              <w:fldChar w:fldCharType="end"/>
            </w:r>
          </w:hyperlink>
        </w:p>
        <w:p w14:paraId="1B58AF66" w14:textId="22A92A42" w:rsidR="00A23D47" w:rsidRDefault="00A23D47">
          <w:pPr>
            <w:pStyle w:val="TOC2"/>
            <w:tabs>
              <w:tab w:val="right" w:leader="dot" w:pos="9633"/>
            </w:tabs>
            <w:rPr>
              <w:rFonts w:asciiTheme="minorHAnsi" w:eastAsiaTheme="minorEastAsia" w:hAnsiTheme="minorHAnsi" w:cstheme="minorBidi"/>
              <w:noProof/>
              <w:color w:val="auto"/>
              <w:sz w:val="22"/>
              <w:lang w:val="en-IE" w:eastAsia="en-IE"/>
            </w:rPr>
          </w:pPr>
          <w:hyperlink w:anchor="_Toc130906099" w:history="1">
            <w:r w:rsidRPr="005E6337">
              <w:rPr>
                <w:rStyle w:val="Hyperlink"/>
                <w:noProof/>
              </w:rPr>
              <w:t>Section 32A</w:t>
            </w:r>
            <w:r>
              <w:rPr>
                <w:noProof/>
                <w:webHidden/>
              </w:rPr>
              <w:tab/>
            </w:r>
            <w:r>
              <w:rPr>
                <w:noProof/>
                <w:webHidden/>
              </w:rPr>
              <w:fldChar w:fldCharType="begin"/>
            </w:r>
            <w:r>
              <w:rPr>
                <w:noProof/>
                <w:webHidden/>
              </w:rPr>
              <w:instrText xml:space="preserve"> PAGEREF _Toc130906099 \h </w:instrText>
            </w:r>
            <w:r>
              <w:rPr>
                <w:noProof/>
                <w:webHidden/>
              </w:rPr>
            </w:r>
            <w:r>
              <w:rPr>
                <w:noProof/>
                <w:webHidden/>
              </w:rPr>
              <w:fldChar w:fldCharType="separate"/>
            </w:r>
            <w:r w:rsidR="003D7B96">
              <w:rPr>
                <w:noProof/>
                <w:webHidden/>
              </w:rPr>
              <w:t>7</w:t>
            </w:r>
            <w:r>
              <w:rPr>
                <w:noProof/>
                <w:webHidden/>
              </w:rPr>
              <w:fldChar w:fldCharType="end"/>
            </w:r>
          </w:hyperlink>
        </w:p>
        <w:p w14:paraId="344DAF4D" w14:textId="3E3AA12F" w:rsidR="00A23D47" w:rsidRDefault="00A23D47">
          <w:pPr>
            <w:pStyle w:val="TOC2"/>
            <w:tabs>
              <w:tab w:val="right" w:leader="dot" w:pos="9633"/>
            </w:tabs>
            <w:rPr>
              <w:rFonts w:asciiTheme="minorHAnsi" w:eastAsiaTheme="minorEastAsia" w:hAnsiTheme="minorHAnsi" w:cstheme="minorBidi"/>
              <w:noProof/>
              <w:color w:val="auto"/>
              <w:sz w:val="22"/>
              <w:lang w:val="en-IE" w:eastAsia="en-IE"/>
            </w:rPr>
          </w:pPr>
          <w:hyperlink w:anchor="_Toc130906100" w:history="1">
            <w:r w:rsidRPr="005E6337">
              <w:rPr>
                <w:rStyle w:val="Hyperlink"/>
                <w:noProof/>
              </w:rPr>
              <w:t>Section 35(1A)</w:t>
            </w:r>
            <w:r>
              <w:rPr>
                <w:noProof/>
                <w:webHidden/>
              </w:rPr>
              <w:tab/>
            </w:r>
            <w:r>
              <w:rPr>
                <w:noProof/>
                <w:webHidden/>
              </w:rPr>
              <w:fldChar w:fldCharType="begin"/>
            </w:r>
            <w:r>
              <w:rPr>
                <w:noProof/>
                <w:webHidden/>
              </w:rPr>
              <w:instrText xml:space="preserve"> PAGEREF _Toc130906100 \h </w:instrText>
            </w:r>
            <w:r>
              <w:rPr>
                <w:noProof/>
                <w:webHidden/>
              </w:rPr>
            </w:r>
            <w:r>
              <w:rPr>
                <w:noProof/>
                <w:webHidden/>
              </w:rPr>
              <w:fldChar w:fldCharType="separate"/>
            </w:r>
            <w:r w:rsidR="003D7B96">
              <w:rPr>
                <w:noProof/>
                <w:webHidden/>
              </w:rPr>
              <w:t>7</w:t>
            </w:r>
            <w:r>
              <w:rPr>
                <w:noProof/>
                <w:webHidden/>
              </w:rPr>
              <w:fldChar w:fldCharType="end"/>
            </w:r>
          </w:hyperlink>
        </w:p>
        <w:p w14:paraId="234AEF3F" w14:textId="65907396" w:rsidR="00A23D47" w:rsidRDefault="003D7B96">
          <w:pPr>
            <w:pStyle w:val="TOC2"/>
            <w:tabs>
              <w:tab w:val="right" w:leader="dot" w:pos="9633"/>
            </w:tabs>
            <w:rPr>
              <w:rFonts w:asciiTheme="minorHAnsi" w:eastAsiaTheme="minorEastAsia" w:hAnsiTheme="minorHAnsi" w:cstheme="minorBidi"/>
              <w:noProof/>
              <w:color w:val="auto"/>
              <w:sz w:val="22"/>
              <w:lang w:val="en-IE" w:eastAsia="en-IE"/>
            </w:rPr>
          </w:pPr>
          <w:hyperlink w:anchor="_Toc130906101" w:history="1">
            <w:r w:rsidR="00A23D47" w:rsidRPr="005E6337">
              <w:rPr>
                <w:rStyle w:val="Hyperlink"/>
                <w:noProof/>
              </w:rPr>
              <w:t>Section 39A</w:t>
            </w:r>
            <w:r w:rsidR="00A23D47">
              <w:rPr>
                <w:noProof/>
                <w:webHidden/>
              </w:rPr>
              <w:tab/>
            </w:r>
            <w:r w:rsidR="00A23D47">
              <w:rPr>
                <w:noProof/>
                <w:webHidden/>
              </w:rPr>
              <w:fldChar w:fldCharType="begin"/>
            </w:r>
            <w:r w:rsidR="00A23D47">
              <w:rPr>
                <w:noProof/>
                <w:webHidden/>
              </w:rPr>
              <w:instrText xml:space="preserve"> PAGEREF _Toc130906101 \h </w:instrText>
            </w:r>
            <w:r w:rsidR="00A23D47">
              <w:rPr>
                <w:noProof/>
                <w:webHidden/>
              </w:rPr>
            </w:r>
            <w:r w:rsidR="00A23D47">
              <w:rPr>
                <w:noProof/>
                <w:webHidden/>
              </w:rPr>
              <w:fldChar w:fldCharType="separate"/>
            </w:r>
            <w:r>
              <w:rPr>
                <w:noProof/>
                <w:webHidden/>
              </w:rPr>
              <w:t>8</w:t>
            </w:r>
            <w:r w:rsidR="00A23D47">
              <w:rPr>
                <w:noProof/>
                <w:webHidden/>
              </w:rPr>
              <w:fldChar w:fldCharType="end"/>
            </w:r>
          </w:hyperlink>
        </w:p>
        <w:p w14:paraId="0CC9084D" w14:textId="41BB252C" w:rsidR="00A23D47" w:rsidRDefault="00A23D47">
          <w:pPr>
            <w:pStyle w:val="TOC1"/>
            <w:rPr>
              <w:rFonts w:asciiTheme="minorHAnsi" w:eastAsiaTheme="minorEastAsia" w:hAnsiTheme="minorHAnsi" w:cstheme="minorBidi"/>
              <w:noProof/>
              <w:color w:val="auto"/>
              <w:sz w:val="22"/>
              <w:lang w:val="en-IE" w:eastAsia="en-IE"/>
            </w:rPr>
          </w:pPr>
          <w:hyperlink w:anchor="_Toc130906102" w:history="1">
            <w:r w:rsidRPr="005E6337">
              <w:rPr>
                <w:rStyle w:val="Hyperlink"/>
                <w:noProof/>
              </w:rPr>
              <w:t>What periods of employment do the Regulations apply to?</w:t>
            </w:r>
            <w:r>
              <w:rPr>
                <w:noProof/>
                <w:webHidden/>
              </w:rPr>
              <w:tab/>
            </w:r>
            <w:r>
              <w:rPr>
                <w:noProof/>
                <w:webHidden/>
              </w:rPr>
              <w:fldChar w:fldCharType="begin"/>
            </w:r>
            <w:r>
              <w:rPr>
                <w:noProof/>
                <w:webHidden/>
              </w:rPr>
              <w:instrText xml:space="preserve"> PAGEREF _Toc130906102 \h </w:instrText>
            </w:r>
            <w:r>
              <w:rPr>
                <w:noProof/>
                <w:webHidden/>
              </w:rPr>
            </w:r>
            <w:r>
              <w:rPr>
                <w:noProof/>
                <w:webHidden/>
              </w:rPr>
              <w:fldChar w:fldCharType="separate"/>
            </w:r>
            <w:r w:rsidR="003D7B96">
              <w:rPr>
                <w:noProof/>
                <w:webHidden/>
              </w:rPr>
              <w:t>8</w:t>
            </w:r>
            <w:r>
              <w:rPr>
                <w:noProof/>
                <w:webHidden/>
              </w:rPr>
              <w:fldChar w:fldCharType="end"/>
            </w:r>
          </w:hyperlink>
        </w:p>
        <w:p w14:paraId="17501F3B" w14:textId="34F8CDB0" w:rsidR="00A23D47" w:rsidRDefault="00A23D47">
          <w:pPr>
            <w:pStyle w:val="TOC1"/>
            <w:rPr>
              <w:rFonts w:asciiTheme="minorHAnsi" w:eastAsiaTheme="minorEastAsia" w:hAnsiTheme="minorHAnsi" w:cstheme="minorBidi"/>
              <w:noProof/>
              <w:color w:val="auto"/>
              <w:sz w:val="22"/>
              <w:lang w:val="en-IE" w:eastAsia="en-IE"/>
            </w:rPr>
          </w:pPr>
          <w:hyperlink w:anchor="_Toc130906103" w:history="1">
            <w:r w:rsidRPr="005E6337">
              <w:rPr>
                <w:rStyle w:val="Hyperlink"/>
                <w:noProof/>
              </w:rPr>
              <w:t>Equal treatment</w:t>
            </w:r>
            <w:r>
              <w:rPr>
                <w:noProof/>
                <w:webHidden/>
              </w:rPr>
              <w:tab/>
            </w:r>
            <w:r>
              <w:rPr>
                <w:noProof/>
                <w:webHidden/>
              </w:rPr>
              <w:fldChar w:fldCharType="begin"/>
            </w:r>
            <w:r>
              <w:rPr>
                <w:noProof/>
                <w:webHidden/>
              </w:rPr>
              <w:instrText xml:space="preserve"> PAGEREF _Toc130906103 \h </w:instrText>
            </w:r>
            <w:r>
              <w:rPr>
                <w:noProof/>
                <w:webHidden/>
              </w:rPr>
            </w:r>
            <w:r>
              <w:rPr>
                <w:noProof/>
                <w:webHidden/>
              </w:rPr>
              <w:fldChar w:fldCharType="separate"/>
            </w:r>
            <w:r w:rsidR="003D7B96">
              <w:rPr>
                <w:noProof/>
                <w:webHidden/>
              </w:rPr>
              <w:t>8</w:t>
            </w:r>
            <w:r>
              <w:rPr>
                <w:noProof/>
                <w:webHidden/>
              </w:rPr>
              <w:fldChar w:fldCharType="end"/>
            </w:r>
          </w:hyperlink>
        </w:p>
        <w:p w14:paraId="77CAE92E" w14:textId="71AF3D92" w:rsidR="00A23D47" w:rsidRDefault="003D7B96">
          <w:pPr>
            <w:pStyle w:val="TOC1"/>
            <w:rPr>
              <w:rFonts w:asciiTheme="minorHAnsi" w:eastAsiaTheme="minorEastAsia" w:hAnsiTheme="minorHAnsi" w:cstheme="minorBidi"/>
              <w:noProof/>
              <w:color w:val="auto"/>
              <w:sz w:val="22"/>
              <w:lang w:val="en-IE" w:eastAsia="en-IE"/>
            </w:rPr>
          </w:pPr>
          <w:hyperlink w:anchor="_Toc130906104" w:history="1">
            <w:r w:rsidR="00A23D47" w:rsidRPr="005E6337">
              <w:rPr>
                <w:rStyle w:val="Hyperlink"/>
                <w:noProof/>
              </w:rPr>
              <w:t>Tax treatment of refunds of employer contributions</w:t>
            </w:r>
            <w:r w:rsidR="00A23D47">
              <w:rPr>
                <w:noProof/>
                <w:webHidden/>
              </w:rPr>
              <w:tab/>
            </w:r>
            <w:r w:rsidR="00A23D47">
              <w:rPr>
                <w:noProof/>
                <w:webHidden/>
              </w:rPr>
              <w:fldChar w:fldCharType="begin"/>
            </w:r>
            <w:r w:rsidR="00A23D47">
              <w:rPr>
                <w:noProof/>
                <w:webHidden/>
              </w:rPr>
              <w:instrText xml:space="preserve"> PAGEREF _Toc130906104 \h </w:instrText>
            </w:r>
            <w:r w:rsidR="00A23D47">
              <w:rPr>
                <w:noProof/>
                <w:webHidden/>
              </w:rPr>
            </w:r>
            <w:r w:rsidR="00A23D47">
              <w:rPr>
                <w:noProof/>
                <w:webHidden/>
              </w:rPr>
              <w:fldChar w:fldCharType="separate"/>
            </w:r>
            <w:r>
              <w:rPr>
                <w:noProof/>
                <w:webHidden/>
              </w:rPr>
              <w:t>9</w:t>
            </w:r>
            <w:r w:rsidR="00A23D47">
              <w:rPr>
                <w:noProof/>
                <w:webHidden/>
              </w:rPr>
              <w:fldChar w:fldCharType="end"/>
            </w:r>
          </w:hyperlink>
        </w:p>
        <w:p w14:paraId="02BC7D52" w14:textId="1C243F74" w:rsidR="008B3939" w:rsidRDefault="008B3939">
          <w:r>
            <w:rPr>
              <w:b/>
              <w:bCs/>
              <w:lang w:val="en-GB"/>
            </w:rPr>
            <w:fldChar w:fldCharType="end"/>
          </w:r>
        </w:p>
      </w:sdtContent>
    </w:sdt>
    <w:p w14:paraId="2DE110C1" w14:textId="77777777" w:rsidR="008B3939" w:rsidRDefault="008B3939">
      <w:pPr>
        <w:spacing w:after="160" w:line="259" w:lineRule="auto"/>
        <w:ind w:left="0" w:right="0" w:firstLine="0"/>
        <w:jc w:val="left"/>
        <w:rPr>
          <w:b/>
        </w:rPr>
      </w:pPr>
      <w:r>
        <w:rPr>
          <w:b/>
        </w:rPr>
        <w:br w:type="page"/>
      </w:r>
    </w:p>
    <w:p w14:paraId="3DD761C6" w14:textId="77777777" w:rsidR="006868EF" w:rsidRPr="000D0D42" w:rsidRDefault="00FB5530" w:rsidP="00447845">
      <w:pPr>
        <w:pStyle w:val="Heading3"/>
      </w:pPr>
      <w:bookmarkStart w:id="0" w:name="_Toc130906090"/>
      <w:r w:rsidRPr="000D0D42">
        <w:lastRenderedPageBreak/>
        <w:t>Introduction</w:t>
      </w:r>
      <w:bookmarkEnd w:id="0"/>
      <w:r w:rsidRPr="000D0D42">
        <w:t xml:space="preserve">  </w:t>
      </w:r>
    </w:p>
    <w:p w14:paraId="0ACEC731" w14:textId="3B02ABC9" w:rsidR="006868EF" w:rsidRDefault="00FB5530" w:rsidP="00447845">
      <w:pPr>
        <w:spacing w:after="0" w:line="276" w:lineRule="auto"/>
        <w:ind w:left="-5" w:right="0"/>
        <w:jc w:val="left"/>
      </w:pPr>
      <w:r>
        <w:t>The European Union (Supplementary Pension Rights) Regulations</w:t>
      </w:r>
      <w:r w:rsidR="00695AAA">
        <w:t>,</w:t>
      </w:r>
      <w:r>
        <w:t xml:space="preserve"> 2019 (S.I. No. 447 of 2019) (the Regulations) came into force on 13 September 2019 (the Relevant Date). The Regulations transpose obligations imposed by Articles 4(1)(a), 4(1)(c) and 5(1) of Directive 2014/50/EU</w:t>
      </w:r>
      <w:r>
        <w:rPr>
          <w:b/>
          <w:vertAlign w:val="superscript"/>
        </w:rPr>
        <w:footnoteReference w:id="2"/>
      </w:r>
      <w:r>
        <w:t xml:space="preserve"> (the Portability Directive) into Irish law through making amendments to the Pensions Act</w:t>
      </w:r>
      <w:r w:rsidR="00695AAA">
        <w:t>,</w:t>
      </w:r>
      <w:r>
        <w:t xml:space="preserve"> 1990, as amended (the Act). Specifically, the Regulations amend the Act to insert a definition of the Portability Directive into section 27, insert a new section 32A, amend section 35, and insert a new section 39A.   </w:t>
      </w:r>
    </w:p>
    <w:p w14:paraId="7329AAB5" w14:textId="77777777" w:rsidR="00447845" w:rsidRDefault="00447845" w:rsidP="00447845">
      <w:pPr>
        <w:spacing w:after="0" w:line="276" w:lineRule="auto"/>
        <w:ind w:left="-5" w:right="0"/>
        <w:jc w:val="left"/>
      </w:pPr>
    </w:p>
    <w:p w14:paraId="39BC699C" w14:textId="2781B614" w:rsidR="006868EF" w:rsidRDefault="00FB5530" w:rsidP="00447845">
      <w:pPr>
        <w:spacing w:after="0" w:line="276" w:lineRule="auto"/>
        <w:ind w:left="-5" w:right="0"/>
        <w:jc w:val="left"/>
      </w:pPr>
      <w:r>
        <w:t xml:space="preserve">The purpose of the Portability Directive is to facilitate the exercise by workers of the right to freedom of movement between EU </w:t>
      </w:r>
      <w:r w:rsidR="00695AAA">
        <w:t>M</w:t>
      </w:r>
      <w:r>
        <w:t xml:space="preserve">ember </w:t>
      </w:r>
      <w:r w:rsidR="00695AAA">
        <w:t>S</w:t>
      </w:r>
      <w:r>
        <w:t xml:space="preserve">tates by reducing the obstacles created by certain rules concerning supplementary pension schemes linked to an employment relationship. </w:t>
      </w:r>
    </w:p>
    <w:p w14:paraId="726BFC2E" w14:textId="77777777" w:rsidR="00447845" w:rsidRDefault="00447845" w:rsidP="00447845">
      <w:pPr>
        <w:spacing w:after="0" w:line="276" w:lineRule="auto"/>
        <w:ind w:left="-5" w:right="0"/>
        <w:jc w:val="left"/>
      </w:pPr>
    </w:p>
    <w:p w14:paraId="749BA647" w14:textId="77777777" w:rsidR="00447845" w:rsidRDefault="00FB5530" w:rsidP="00447845">
      <w:pPr>
        <w:spacing w:after="0" w:line="276" w:lineRule="auto"/>
        <w:ind w:left="-5" w:right="0"/>
        <w:jc w:val="left"/>
      </w:pPr>
      <w:r>
        <w:t>This guidance note should be read in conjunction with and may impact on other relevant guidance issued by the Authority e.g.</w:t>
      </w:r>
      <w:r w:rsidR="00EC20CA">
        <w:t>,</w:t>
      </w:r>
      <w:r>
        <w:t xml:space="preserve"> Preservation of </w:t>
      </w:r>
      <w:r w:rsidR="00695AAA">
        <w:t>b</w:t>
      </w:r>
      <w:r>
        <w:t xml:space="preserve">enefits and </w:t>
      </w:r>
      <w:r w:rsidR="00695AAA">
        <w:t>m</w:t>
      </w:r>
      <w:r>
        <w:t xml:space="preserve">inimum </w:t>
      </w:r>
      <w:r w:rsidR="00695AAA">
        <w:t>v</w:t>
      </w:r>
      <w:r>
        <w:t xml:space="preserve">alue of </w:t>
      </w:r>
      <w:r w:rsidR="00695AAA">
        <w:t>c</w:t>
      </w:r>
      <w:r>
        <w:t xml:space="preserve">ontributory </w:t>
      </w:r>
      <w:r w:rsidR="00695AAA">
        <w:t>r</w:t>
      </w:r>
      <w:r>
        <w:t xml:space="preserve">etirement </w:t>
      </w:r>
      <w:r w:rsidR="00695AAA">
        <w:t>b</w:t>
      </w:r>
      <w:r>
        <w:t xml:space="preserve">enefits </w:t>
      </w:r>
      <w:r w:rsidR="00695AAA">
        <w:t>g</w:t>
      </w:r>
      <w:r>
        <w:t xml:space="preserve">uidance </w:t>
      </w:r>
      <w:r w:rsidR="00695AAA">
        <w:t>n</w:t>
      </w:r>
      <w:r>
        <w:t xml:space="preserve">ote, Pension </w:t>
      </w:r>
      <w:r w:rsidR="00695AAA">
        <w:t>t</w:t>
      </w:r>
      <w:r>
        <w:t xml:space="preserve">ransfers outside the State. </w:t>
      </w:r>
    </w:p>
    <w:p w14:paraId="0C2C521A" w14:textId="33B65305" w:rsidR="006868EF" w:rsidRDefault="00FB5530" w:rsidP="00447845">
      <w:pPr>
        <w:spacing w:after="0" w:line="276" w:lineRule="auto"/>
        <w:ind w:left="-5" w:right="0"/>
        <w:jc w:val="left"/>
      </w:pPr>
      <w:r>
        <w:t xml:space="preserve"> </w:t>
      </w:r>
    </w:p>
    <w:p w14:paraId="1B566D6A" w14:textId="77777777" w:rsidR="006868EF" w:rsidRDefault="00FB5530" w:rsidP="00447845">
      <w:pPr>
        <w:pStyle w:val="Heading3"/>
      </w:pPr>
      <w:bookmarkStart w:id="1" w:name="_Toc130906091"/>
      <w:r>
        <w:t>Summary of the Regulations</w:t>
      </w:r>
      <w:bookmarkEnd w:id="1"/>
      <w:r>
        <w:t xml:space="preserve"> </w:t>
      </w:r>
    </w:p>
    <w:p w14:paraId="5DB0374D" w14:textId="77777777" w:rsidR="006868EF" w:rsidRDefault="00FB5530" w:rsidP="00447845">
      <w:pPr>
        <w:spacing w:after="0" w:line="276" w:lineRule="auto"/>
        <w:ind w:left="-5" w:right="0"/>
        <w:jc w:val="left"/>
      </w:pPr>
      <w:r>
        <w:t xml:space="preserve">The Regulations transpose Articles 4(1)(a), 4(1)(c) and 5(1) of the Portability Directive into Irish law. In summary, the effect of the Regulations is to incorporate into Irish law the concept of an Outgoing Worker and provide for certain protections and rights for Outgoing Workers.   </w:t>
      </w:r>
    </w:p>
    <w:p w14:paraId="45E13F6B" w14:textId="77777777" w:rsidR="00447845" w:rsidRDefault="00447845" w:rsidP="00447845">
      <w:pPr>
        <w:spacing w:after="0" w:line="276" w:lineRule="auto"/>
        <w:ind w:left="-5" w:right="0"/>
        <w:jc w:val="left"/>
      </w:pPr>
    </w:p>
    <w:p w14:paraId="4C465CDD" w14:textId="77777777" w:rsidR="006868EF" w:rsidRDefault="00FB5530" w:rsidP="00447845">
      <w:pPr>
        <w:spacing w:after="0" w:line="276" w:lineRule="auto"/>
        <w:ind w:left="-5" w:right="0"/>
        <w:jc w:val="left"/>
      </w:pPr>
      <w:r>
        <w:t xml:space="preserve">These rights and protections are: </w:t>
      </w:r>
    </w:p>
    <w:p w14:paraId="42656699" w14:textId="77777777" w:rsidR="006868EF" w:rsidRDefault="00FB5530" w:rsidP="00447845">
      <w:pPr>
        <w:pStyle w:val="ListParagraph"/>
        <w:numPr>
          <w:ilvl w:val="0"/>
          <w:numId w:val="22"/>
        </w:numPr>
        <w:spacing w:after="0" w:line="276" w:lineRule="auto"/>
        <w:ind w:right="0"/>
        <w:contextualSpacing w:val="0"/>
        <w:jc w:val="left"/>
      </w:pPr>
      <w:r>
        <w:t xml:space="preserve">a right to a refund of pension contributions where service in relevant employment terminates and the Outgoing Worker is not entitled to a preserved benefit under a </w:t>
      </w:r>
      <w:proofErr w:type="gramStart"/>
      <w:r>
        <w:t>scheme;</w:t>
      </w:r>
      <w:proofErr w:type="gramEnd"/>
      <w:r>
        <w:t xml:space="preserve"> </w:t>
      </w:r>
    </w:p>
    <w:p w14:paraId="2E8C4E2B" w14:textId="77777777" w:rsidR="007845E4" w:rsidRDefault="007845E4" w:rsidP="00447845">
      <w:pPr>
        <w:pStyle w:val="ListParagraph"/>
        <w:spacing w:after="0" w:line="276" w:lineRule="auto"/>
        <w:ind w:right="0" w:firstLine="0"/>
        <w:contextualSpacing w:val="0"/>
        <w:jc w:val="left"/>
      </w:pPr>
    </w:p>
    <w:p w14:paraId="471DCD07" w14:textId="5CF14260" w:rsidR="006868EF" w:rsidRDefault="00FB5530" w:rsidP="00447845">
      <w:pPr>
        <w:pStyle w:val="ListParagraph"/>
        <w:numPr>
          <w:ilvl w:val="0"/>
          <w:numId w:val="22"/>
        </w:numPr>
        <w:spacing w:after="0" w:line="276" w:lineRule="auto"/>
        <w:ind w:right="0"/>
        <w:contextualSpacing w:val="0"/>
        <w:jc w:val="left"/>
      </w:pPr>
      <w:r>
        <w:t xml:space="preserve">a prohibition on trustees of a scheme making a transfer payment in respect of an Outgoing Worker who is entitled to a preserved benefit under a scheme without having first obtained the written consent of the Outgoing Worker to the transfer payment; and </w:t>
      </w:r>
    </w:p>
    <w:p w14:paraId="2218FC82" w14:textId="77777777" w:rsidR="007845E4" w:rsidRDefault="007845E4" w:rsidP="00447845">
      <w:pPr>
        <w:pStyle w:val="ListParagraph"/>
        <w:spacing w:after="0" w:line="276" w:lineRule="auto"/>
        <w:ind w:right="0" w:firstLine="0"/>
        <w:contextualSpacing w:val="0"/>
        <w:jc w:val="left"/>
      </w:pPr>
    </w:p>
    <w:p w14:paraId="5D4F7064" w14:textId="579FA20F" w:rsidR="006868EF" w:rsidRDefault="00FB5530" w:rsidP="00447845">
      <w:pPr>
        <w:pStyle w:val="ListParagraph"/>
        <w:numPr>
          <w:ilvl w:val="0"/>
          <w:numId w:val="22"/>
        </w:numPr>
        <w:spacing w:after="0" w:line="276" w:lineRule="auto"/>
        <w:ind w:right="0"/>
        <w:contextualSpacing w:val="0"/>
        <w:jc w:val="left"/>
      </w:pPr>
      <w:r>
        <w:t xml:space="preserve">a right of an Outgoing Worker to join a scheme which applies to their employment (if any) within a period of no longer than 12 months after commencing employment. </w:t>
      </w:r>
    </w:p>
    <w:p w14:paraId="413661C9" w14:textId="77777777" w:rsidR="00695AAA" w:rsidRDefault="00695AAA" w:rsidP="00447845">
      <w:pPr>
        <w:spacing w:after="0" w:line="276" w:lineRule="auto"/>
        <w:ind w:left="-5" w:right="0"/>
        <w:jc w:val="left"/>
      </w:pPr>
    </w:p>
    <w:p w14:paraId="4B9786EB" w14:textId="548303D2" w:rsidR="006868EF" w:rsidRDefault="00FB5530" w:rsidP="00447845">
      <w:pPr>
        <w:spacing w:after="0" w:line="276" w:lineRule="auto"/>
        <w:ind w:left="-5" w:right="0"/>
        <w:jc w:val="left"/>
      </w:pPr>
      <w:r>
        <w:t xml:space="preserve">The Act, as amended by the Regulations, will apply notwithstanding anything contained in the rules of </w:t>
      </w:r>
      <w:proofErr w:type="gramStart"/>
      <w:r>
        <w:t>a scheme</w:t>
      </w:r>
      <w:proofErr w:type="gramEnd"/>
      <w:r>
        <w:t xml:space="preserve">. </w:t>
      </w:r>
    </w:p>
    <w:p w14:paraId="0F1FB001" w14:textId="77777777" w:rsidR="006868EF" w:rsidRDefault="00FB5530" w:rsidP="00447845">
      <w:pPr>
        <w:pStyle w:val="Heading3"/>
      </w:pPr>
      <w:bookmarkStart w:id="2" w:name="_Toc130906092"/>
      <w:r>
        <w:lastRenderedPageBreak/>
        <w:t>What schemes do the Regulations apply to?</w:t>
      </w:r>
      <w:bookmarkEnd w:id="2"/>
      <w:r>
        <w:t xml:space="preserve">   </w:t>
      </w:r>
    </w:p>
    <w:p w14:paraId="4DAFC68B" w14:textId="77777777" w:rsidR="006868EF" w:rsidRDefault="00FB5530" w:rsidP="00447845">
      <w:pPr>
        <w:spacing w:after="0" w:line="276" w:lineRule="auto"/>
        <w:ind w:left="-5" w:right="0"/>
        <w:jc w:val="left"/>
      </w:pPr>
      <w:r>
        <w:t xml:space="preserve">The Regulations apply to schemes or sections of schemes that accepted new members on 20 May 2014 (the date that the Directive entered into force). The Regulations do not apply to schemes or sections of schemes that did not accept new members on, and at any time after, 20 May 2014.  </w:t>
      </w:r>
    </w:p>
    <w:p w14:paraId="6664E1BF" w14:textId="77777777" w:rsidR="00447845" w:rsidRDefault="00447845" w:rsidP="00447845">
      <w:pPr>
        <w:spacing w:after="0" w:line="276" w:lineRule="auto"/>
        <w:ind w:left="-5" w:right="0"/>
        <w:jc w:val="left"/>
      </w:pPr>
    </w:p>
    <w:p w14:paraId="6B609477" w14:textId="77777777" w:rsidR="006868EF" w:rsidRDefault="00FB5530" w:rsidP="00447845">
      <w:pPr>
        <w:spacing w:after="0" w:line="276" w:lineRule="auto"/>
        <w:ind w:left="-5" w:right="0"/>
        <w:jc w:val="left"/>
      </w:pPr>
      <w:r>
        <w:t xml:space="preserve">If a scheme or section of a scheme did not accept new members for a period on or after that date but subsequently accepted new members, the Regulations will apply to such scheme or section of such scheme. </w:t>
      </w:r>
    </w:p>
    <w:p w14:paraId="6395B0E4" w14:textId="77777777" w:rsidR="00447845" w:rsidRDefault="00447845" w:rsidP="00447845">
      <w:pPr>
        <w:spacing w:after="0" w:line="276" w:lineRule="auto"/>
        <w:ind w:left="-5" w:right="0"/>
        <w:jc w:val="left"/>
      </w:pPr>
    </w:p>
    <w:p w14:paraId="732C8E7E" w14:textId="77777777" w:rsidR="006868EF" w:rsidRDefault="00FB5530" w:rsidP="00447845">
      <w:pPr>
        <w:pStyle w:val="Heading3"/>
      </w:pPr>
      <w:bookmarkStart w:id="3" w:name="_Toc130906093"/>
      <w:r>
        <w:t>What persons do the Regulations apply to?</w:t>
      </w:r>
      <w:bookmarkEnd w:id="3"/>
      <w:r>
        <w:t xml:space="preserve"> </w:t>
      </w:r>
    </w:p>
    <w:p w14:paraId="0F635BF5" w14:textId="77777777" w:rsidR="006868EF" w:rsidRDefault="00FB5530" w:rsidP="00447845">
      <w:pPr>
        <w:spacing w:after="0" w:line="276" w:lineRule="auto"/>
        <w:ind w:left="-5" w:right="0"/>
        <w:jc w:val="left"/>
      </w:pPr>
      <w:r>
        <w:t xml:space="preserve">The Regulations apply to Outgoing Workers only. Outgoing Worker has the same meaning in the Regulations as in the Portability Directive, namely: </w:t>
      </w:r>
    </w:p>
    <w:p w14:paraId="7AAE85C1" w14:textId="77777777" w:rsidR="00447845" w:rsidRDefault="00447845" w:rsidP="00447845">
      <w:pPr>
        <w:spacing w:after="0" w:line="276" w:lineRule="auto"/>
        <w:ind w:left="-5" w:right="0"/>
        <w:jc w:val="left"/>
      </w:pPr>
    </w:p>
    <w:p w14:paraId="71CB73EF" w14:textId="5FAE9D78" w:rsidR="006868EF" w:rsidRDefault="00EC20CA" w:rsidP="00447845">
      <w:pPr>
        <w:spacing w:after="0" w:line="276" w:lineRule="auto"/>
        <w:ind w:left="284" w:right="571"/>
        <w:jc w:val="left"/>
      </w:pPr>
      <w:r>
        <w:t>‘</w:t>
      </w:r>
      <w:proofErr w:type="gramStart"/>
      <w:r w:rsidR="00FB5530" w:rsidRPr="00695AAA">
        <w:rPr>
          <w:iCs/>
        </w:rPr>
        <w:t>an</w:t>
      </w:r>
      <w:proofErr w:type="gramEnd"/>
      <w:r w:rsidR="00FB5530" w:rsidRPr="00695AAA">
        <w:rPr>
          <w:iCs/>
        </w:rPr>
        <w:t xml:space="preserve"> active scheme member whose current employment relationship terminates for reasons other than becoming eligible for a supplementary pension and who moves between Member States</w:t>
      </w:r>
      <w:r w:rsidRPr="00695AAA">
        <w:rPr>
          <w:iCs/>
        </w:rPr>
        <w:t>’</w:t>
      </w:r>
      <w:r w:rsidR="00FB5530">
        <w:t xml:space="preserve">.   </w:t>
      </w:r>
    </w:p>
    <w:p w14:paraId="3A80BD66" w14:textId="77777777" w:rsidR="00447845" w:rsidRDefault="00447845" w:rsidP="00447845">
      <w:pPr>
        <w:spacing w:after="0" w:line="276" w:lineRule="auto"/>
        <w:ind w:left="284" w:right="571"/>
        <w:jc w:val="left"/>
      </w:pPr>
    </w:p>
    <w:p w14:paraId="252B7EED" w14:textId="77777777" w:rsidR="006868EF" w:rsidRDefault="00FB5530" w:rsidP="00447845">
      <w:pPr>
        <w:spacing w:after="0" w:line="276" w:lineRule="auto"/>
        <w:ind w:left="-5" w:right="0"/>
        <w:jc w:val="left"/>
      </w:pPr>
      <w:r>
        <w:t xml:space="preserve">An active scheme member is a worker whose current employment relationship entitles them after fulfilling applicable conditions to a supplementary pension from a supplementary pension scheme.  </w:t>
      </w:r>
    </w:p>
    <w:p w14:paraId="1BF1C5D2" w14:textId="77777777" w:rsidR="00447845" w:rsidRDefault="00447845" w:rsidP="00447845">
      <w:pPr>
        <w:spacing w:after="0" w:line="276" w:lineRule="auto"/>
        <w:ind w:left="-5" w:right="0"/>
        <w:jc w:val="left"/>
      </w:pPr>
    </w:p>
    <w:p w14:paraId="10B1218B" w14:textId="77777777" w:rsidR="006868EF" w:rsidRDefault="00FB5530" w:rsidP="00447845">
      <w:pPr>
        <w:spacing w:after="0" w:line="276" w:lineRule="auto"/>
        <w:ind w:left="-5" w:right="0"/>
        <w:jc w:val="left"/>
      </w:pPr>
      <w:r>
        <w:t xml:space="preserve">There are three criteria to satisfy under the definition of Outgoing Worker. All of these criteria must be satisfied to be an Outgoing Worker. If any criterion is not satisfied, a person is not an Outgoing Worker. The criteria are: </w:t>
      </w:r>
    </w:p>
    <w:p w14:paraId="720206B3" w14:textId="77777777" w:rsidR="00447845" w:rsidRDefault="00447845" w:rsidP="00447845">
      <w:pPr>
        <w:spacing w:after="0" w:line="276" w:lineRule="auto"/>
        <w:ind w:left="-5" w:right="0"/>
        <w:jc w:val="left"/>
      </w:pPr>
    </w:p>
    <w:p w14:paraId="766083FF" w14:textId="77777777" w:rsidR="006868EF" w:rsidRDefault="00FB5530" w:rsidP="00447845">
      <w:pPr>
        <w:pStyle w:val="ListParagraph"/>
        <w:numPr>
          <w:ilvl w:val="0"/>
          <w:numId w:val="23"/>
        </w:numPr>
        <w:spacing w:after="0" w:line="276" w:lineRule="auto"/>
        <w:ind w:right="0"/>
        <w:contextualSpacing w:val="0"/>
        <w:jc w:val="left"/>
      </w:pPr>
      <w:r>
        <w:t xml:space="preserve">the person is an active scheme member; and </w:t>
      </w:r>
    </w:p>
    <w:p w14:paraId="53755FA0" w14:textId="77777777" w:rsidR="007845E4" w:rsidRDefault="007845E4" w:rsidP="00447845">
      <w:pPr>
        <w:pStyle w:val="ListParagraph"/>
        <w:spacing w:after="0" w:line="276" w:lineRule="auto"/>
        <w:ind w:right="0" w:firstLine="0"/>
        <w:contextualSpacing w:val="0"/>
        <w:jc w:val="left"/>
      </w:pPr>
    </w:p>
    <w:p w14:paraId="6FB4B7CF" w14:textId="5D279B15" w:rsidR="006868EF" w:rsidRDefault="00FB5530" w:rsidP="00447845">
      <w:pPr>
        <w:pStyle w:val="ListParagraph"/>
        <w:numPr>
          <w:ilvl w:val="0"/>
          <w:numId w:val="23"/>
        </w:numPr>
        <w:spacing w:after="0" w:line="276" w:lineRule="auto"/>
        <w:ind w:right="0"/>
        <w:contextualSpacing w:val="0"/>
        <w:jc w:val="left"/>
      </w:pPr>
      <w:r>
        <w:t xml:space="preserve">the person's current employment terminates for reasons other than becoming eligible for a supplementary pension; and  </w:t>
      </w:r>
    </w:p>
    <w:p w14:paraId="00627A0F" w14:textId="77777777" w:rsidR="007845E4" w:rsidRDefault="007845E4" w:rsidP="00447845">
      <w:pPr>
        <w:pStyle w:val="ListParagraph"/>
        <w:spacing w:after="0" w:line="276" w:lineRule="auto"/>
        <w:ind w:right="0" w:firstLine="0"/>
        <w:contextualSpacing w:val="0"/>
        <w:jc w:val="left"/>
      </w:pPr>
    </w:p>
    <w:p w14:paraId="02FC68E1" w14:textId="30408DE8" w:rsidR="006868EF" w:rsidRDefault="00FB5530" w:rsidP="00447845">
      <w:pPr>
        <w:pStyle w:val="ListParagraph"/>
        <w:numPr>
          <w:ilvl w:val="0"/>
          <w:numId w:val="23"/>
        </w:numPr>
        <w:spacing w:after="0" w:line="276" w:lineRule="auto"/>
        <w:ind w:right="0"/>
        <w:contextualSpacing w:val="0"/>
        <w:jc w:val="left"/>
      </w:pPr>
      <w:r>
        <w:t xml:space="preserve">the person moves employment between EU </w:t>
      </w:r>
      <w:r w:rsidR="00695AAA">
        <w:t>M</w:t>
      </w:r>
      <w:r>
        <w:t xml:space="preserve">ember </w:t>
      </w:r>
      <w:r w:rsidR="00695AAA">
        <w:t>S</w:t>
      </w:r>
      <w:r>
        <w:t xml:space="preserve">tates. </w:t>
      </w:r>
    </w:p>
    <w:p w14:paraId="65273090" w14:textId="77777777" w:rsidR="00695AAA" w:rsidRDefault="00695AAA" w:rsidP="00447845">
      <w:pPr>
        <w:spacing w:after="0" w:line="276" w:lineRule="auto"/>
        <w:ind w:left="0" w:right="0" w:firstLine="0"/>
        <w:jc w:val="left"/>
        <w:rPr>
          <w:b/>
          <w:bCs/>
          <w:iCs/>
          <w:sz w:val="32"/>
          <w:szCs w:val="28"/>
        </w:rPr>
      </w:pPr>
      <w:bookmarkStart w:id="4" w:name="_Toc130906094"/>
      <w:r>
        <w:br w:type="page"/>
      </w:r>
    </w:p>
    <w:p w14:paraId="34FD56D6" w14:textId="2F8D9202" w:rsidR="006868EF" w:rsidRDefault="00FB5530" w:rsidP="00447845">
      <w:pPr>
        <w:pStyle w:val="Heading3"/>
      </w:pPr>
      <w:r>
        <w:lastRenderedPageBreak/>
        <w:t>Determining whether a person is an Outgoing Worker</w:t>
      </w:r>
      <w:bookmarkEnd w:id="4"/>
      <w:r>
        <w:t xml:space="preserve"> </w:t>
      </w:r>
    </w:p>
    <w:p w14:paraId="75F9326B" w14:textId="77777777" w:rsidR="006868EF" w:rsidRDefault="00FB5530" w:rsidP="00447845">
      <w:pPr>
        <w:spacing w:after="0" w:line="276" w:lineRule="auto"/>
        <w:ind w:left="-5" w:right="0"/>
        <w:jc w:val="left"/>
      </w:pPr>
      <w:r>
        <w:t xml:space="preserve">It is a matter for trustees and employers to determine whether a person is an Outgoing Worker. However, this section provides some guidance on the steps that trustees and employers might consider taking in order to assist them in making this determination. </w:t>
      </w:r>
    </w:p>
    <w:p w14:paraId="74103B8A" w14:textId="3B75581B" w:rsidR="006868EF" w:rsidRDefault="00FB5530" w:rsidP="00447845">
      <w:pPr>
        <w:spacing w:after="0" w:line="276" w:lineRule="auto"/>
        <w:ind w:left="-5" w:right="0"/>
        <w:jc w:val="left"/>
      </w:pPr>
      <w:r>
        <w:t xml:space="preserve">Trustees and employers should put in place processes to allow them to make this determination  </w:t>
      </w:r>
    </w:p>
    <w:p w14:paraId="5EC43C17" w14:textId="77777777" w:rsidR="00447845" w:rsidRDefault="00447845" w:rsidP="00447845">
      <w:pPr>
        <w:spacing w:after="0" w:line="276" w:lineRule="auto"/>
        <w:ind w:left="-5" w:right="0"/>
        <w:jc w:val="left"/>
      </w:pPr>
    </w:p>
    <w:p w14:paraId="2DC902F6" w14:textId="2EB28746" w:rsidR="006868EF" w:rsidRDefault="00FB5530" w:rsidP="00447845">
      <w:pPr>
        <w:pStyle w:val="ListParagraph"/>
        <w:numPr>
          <w:ilvl w:val="0"/>
          <w:numId w:val="33"/>
        </w:numPr>
        <w:spacing w:after="0" w:line="276" w:lineRule="auto"/>
        <w:ind w:right="0"/>
        <w:contextualSpacing w:val="0"/>
        <w:jc w:val="left"/>
      </w:pPr>
      <w:r>
        <w:t>at the point an employee commences service; or if later, the Relevant Date</w:t>
      </w:r>
      <w:r w:rsidR="00EC20CA">
        <w:t>,</w:t>
      </w:r>
      <w:r>
        <w:t xml:space="preserve"> and  </w:t>
      </w:r>
    </w:p>
    <w:p w14:paraId="13836B84" w14:textId="4110C468" w:rsidR="006868EF" w:rsidRDefault="00FB5530" w:rsidP="00447845">
      <w:pPr>
        <w:pStyle w:val="ListParagraph"/>
        <w:numPr>
          <w:ilvl w:val="0"/>
          <w:numId w:val="33"/>
        </w:numPr>
        <w:spacing w:after="0" w:line="276" w:lineRule="auto"/>
        <w:ind w:right="0"/>
        <w:contextualSpacing w:val="0"/>
        <w:jc w:val="left"/>
      </w:pPr>
      <w:proofErr w:type="gramStart"/>
      <w:r>
        <w:t>at</w:t>
      </w:r>
      <w:proofErr w:type="gramEnd"/>
      <w:r>
        <w:t xml:space="preserve"> the point an employee leaves service.   </w:t>
      </w:r>
    </w:p>
    <w:p w14:paraId="2CB06C0E" w14:textId="77777777" w:rsidR="00447845" w:rsidRDefault="00447845" w:rsidP="00447845">
      <w:pPr>
        <w:pStyle w:val="Heading3"/>
      </w:pPr>
      <w:bookmarkStart w:id="5" w:name="_Toc130906095"/>
    </w:p>
    <w:p w14:paraId="33C059C1" w14:textId="4852D489" w:rsidR="006868EF" w:rsidRPr="00B62EAC" w:rsidRDefault="00FB5530" w:rsidP="00447845">
      <w:pPr>
        <w:pStyle w:val="Heading3"/>
      </w:pPr>
      <w:r w:rsidRPr="00B62EAC">
        <w:t>Commencing service</w:t>
      </w:r>
      <w:bookmarkEnd w:id="5"/>
      <w:r w:rsidRPr="00B62EAC">
        <w:t xml:space="preserve"> </w:t>
      </w:r>
    </w:p>
    <w:p w14:paraId="754020CB" w14:textId="2F3866BB" w:rsidR="006868EF" w:rsidRDefault="00FB5530" w:rsidP="00447845">
      <w:pPr>
        <w:spacing w:after="0" w:line="276" w:lineRule="auto"/>
        <w:ind w:left="-5" w:right="0"/>
        <w:jc w:val="left"/>
      </w:pPr>
      <w:r>
        <w:t xml:space="preserve">Where a new employee is or will be eligible for membership of a scheme in respect of new employment in this State, they will be an Outgoing Worker if their most recent employment prior to commencing that new employment was as an employee in another EU </w:t>
      </w:r>
      <w:r w:rsidR="00695AAA">
        <w:t>M</w:t>
      </w:r>
      <w:r>
        <w:t xml:space="preserve">ember </w:t>
      </w:r>
      <w:r w:rsidR="00695AAA">
        <w:t>S</w:t>
      </w:r>
      <w:r>
        <w:t xml:space="preserve">tate as an active member of a supplementary pension scheme. For this purpose, new employees: </w:t>
      </w:r>
    </w:p>
    <w:p w14:paraId="61A57F8C" w14:textId="77777777" w:rsidR="00447845" w:rsidRDefault="00447845" w:rsidP="00447845">
      <w:pPr>
        <w:spacing w:after="0" w:line="276" w:lineRule="auto"/>
        <w:ind w:left="-5" w:right="0"/>
        <w:jc w:val="left"/>
      </w:pPr>
    </w:p>
    <w:p w14:paraId="32901DED" w14:textId="4D13775E" w:rsidR="006868EF" w:rsidRDefault="00FB5530" w:rsidP="00447845">
      <w:pPr>
        <w:pStyle w:val="ListParagraph"/>
        <w:numPr>
          <w:ilvl w:val="0"/>
          <w:numId w:val="30"/>
        </w:numPr>
        <w:spacing w:after="0" w:line="276" w:lineRule="auto"/>
        <w:ind w:right="0"/>
        <w:contextualSpacing w:val="0"/>
        <w:jc w:val="left"/>
      </w:pPr>
      <w:r>
        <w:t xml:space="preserve">include employees who commence a new </w:t>
      </w:r>
      <w:proofErr w:type="gramStart"/>
      <w:r>
        <w:t>employment</w:t>
      </w:r>
      <w:proofErr w:type="gramEnd"/>
      <w:r>
        <w:t xml:space="preserve"> in this State after the Relevant </w:t>
      </w:r>
      <w:proofErr w:type="gramStart"/>
      <w:r>
        <w:t>Date;</w:t>
      </w:r>
      <w:proofErr w:type="gramEnd"/>
      <w:r>
        <w:t xml:space="preserve">  </w:t>
      </w:r>
    </w:p>
    <w:p w14:paraId="5F9FCA54" w14:textId="77777777" w:rsidR="006E448A" w:rsidRDefault="006E448A" w:rsidP="00447845">
      <w:pPr>
        <w:pStyle w:val="ListParagraph"/>
        <w:spacing w:after="0" w:line="276" w:lineRule="auto"/>
        <w:ind w:right="0" w:firstLine="0"/>
        <w:contextualSpacing w:val="0"/>
        <w:jc w:val="left"/>
      </w:pPr>
    </w:p>
    <w:p w14:paraId="62041AAE" w14:textId="2AD8F0EF" w:rsidR="006868EF" w:rsidRDefault="00FB5530" w:rsidP="00447845">
      <w:pPr>
        <w:pStyle w:val="ListParagraph"/>
        <w:numPr>
          <w:ilvl w:val="0"/>
          <w:numId w:val="30"/>
        </w:numPr>
        <w:spacing w:after="0" w:line="276" w:lineRule="auto"/>
        <w:ind w:right="0"/>
        <w:contextualSpacing w:val="0"/>
        <w:jc w:val="left"/>
      </w:pPr>
      <w:r>
        <w:t xml:space="preserve">include employees who commenced a new employment in this State prior to the Relevant Date and are in a waiting period to join a scheme on the Relevant Date; and </w:t>
      </w:r>
    </w:p>
    <w:p w14:paraId="697E3C37" w14:textId="77777777" w:rsidR="006E448A" w:rsidRDefault="006E448A" w:rsidP="00447845">
      <w:pPr>
        <w:pStyle w:val="ListParagraph"/>
        <w:spacing w:after="0" w:line="276" w:lineRule="auto"/>
        <w:ind w:right="0" w:firstLine="0"/>
        <w:contextualSpacing w:val="0"/>
        <w:jc w:val="left"/>
      </w:pPr>
    </w:p>
    <w:p w14:paraId="52807B99" w14:textId="0D574EFF" w:rsidR="006868EF" w:rsidRDefault="00FB5530" w:rsidP="00447845">
      <w:pPr>
        <w:pStyle w:val="ListParagraph"/>
        <w:numPr>
          <w:ilvl w:val="0"/>
          <w:numId w:val="30"/>
        </w:numPr>
        <w:spacing w:after="0" w:line="276" w:lineRule="auto"/>
        <w:ind w:right="0"/>
        <w:contextualSpacing w:val="0"/>
        <w:jc w:val="left"/>
      </w:pPr>
      <w:r>
        <w:t xml:space="preserve">does not include new employees who commenced new employment in the State prior to the Relevant Date and have joined a scheme prior to the Relevant Date.   </w:t>
      </w:r>
    </w:p>
    <w:p w14:paraId="173B7897" w14:textId="77777777" w:rsidR="00447845" w:rsidRDefault="00447845" w:rsidP="00447845">
      <w:pPr>
        <w:spacing w:after="0" w:line="276" w:lineRule="auto"/>
        <w:ind w:left="0" w:right="0" w:firstLine="0"/>
        <w:jc w:val="left"/>
      </w:pPr>
    </w:p>
    <w:p w14:paraId="26127620" w14:textId="77777777" w:rsidR="006868EF" w:rsidRDefault="00FB5530" w:rsidP="00447845">
      <w:pPr>
        <w:spacing w:after="0" w:line="276" w:lineRule="auto"/>
        <w:ind w:left="-5" w:right="0"/>
        <w:jc w:val="left"/>
      </w:pPr>
      <w:r>
        <w:t xml:space="preserve">On commencement of employment (or, if later, the Relevant Date), employers should ask the new employee: </w:t>
      </w:r>
    </w:p>
    <w:p w14:paraId="303AC19D" w14:textId="77777777" w:rsidR="00447845" w:rsidRDefault="00447845" w:rsidP="00447845">
      <w:pPr>
        <w:spacing w:after="0" w:line="276" w:lineRule="auto"/>
        <w:ind w:left="-5" w:right="0"/>
        <w:jc w:val="left"/>
      </w:pPr>
    </w:p>
    <w:p w14:paraId="2D4A5F6D" w14:textId="55EB0DB1" w:rsidR="006868EF" w:rsidRDefault="00FB5530" w:rsidP="00447845">
      <w:pPr>
        <w:pStyle w:val="ListParagraph"/>
        <w:numPr>
          <w:ilvl w:val="0"/>
          <w:numId w:val="26"/>
        </w:numPr>
        <w:spacing w:after="0" w:line="276" w:lineRule="auto"/>
        <w:ind w:right="0"/>
        <w:contextualSpacing w:val="0"/>
        <w:jc w:val="left"/>
      </w:pPr>
      <w:r>
        <w:t xml:space="preserve">whether their most recent employment, prior to commencing the new employment, was as an employee in another EU </w:t>
      </w:r>
      <w:r w:rsidR="00695AAA">
        <w:t>M</w:t>
      </w:r>
      <w:r>
        <w:t xml:space="preserve">ember </w:t>
      </w:r>
      <w:r w:rsidR="00695AAA">
        <w:t>S</w:t>
      </w:r>
      <w:r>
        <w:t xml:space="preserve">tate as an active member of a supplementary pension scheme; and </w:t>
      </w:r>
    </w:p>
    <w:p w14:paraId="42CFB712" w14:textId="77777777" w:rsidR="006E448A" w:rsidRDefault="006E448A" w:rsidP="00447845">
      <w:pPr>
        <w:pStyle w:val="ListParagraph"/>
        <w:spacing w:after="0" w:line="276" w:lineRule="auto"/>
        <w:ind w:right="0" w:firstLine="0"/>
        <w:contextualSpacing w:val="0"/>
        <w:jc w:val="left"/>
      </w:pPr>
    </w:p>
    <w:p w14:paraId="140EC4B1" w14:textId="5A400AF6" w:rsidR="006E448A" w:rsidRDefault="00FB5530" w:rsidP="00447845">
      <w:pPr>
        <w:pStyle w:val="ListParagraph"/>
        <w:numPr>
          <w:ilvl w:val="0"/>
          <w:numId w:val="26"/>
        </w:numPr>
        <w:spacing w:after="0" w:line="276" w:lineRule="auto"/>
        <w:ind w:right="0"/>
        <w:contextualSpacing w:val="0"/>
        <w:jc w:val="left"/>
      </w:pPr>
      <w:r>
        <w:t xml:space="preserve">if so, for evidence of that which might include: </w:t>
      </w:r>
    </w:p>
    <w:p w14:paraId="771A965F" w14:textId="77777777" w:rsidR="006E448A" w:rsidRDefault="006E448A" w:rsidP="00447845">
      <w:pPr>
        <w:pStyle w:val="ListParagraph"/>
        <w:spacing w:after="0" w:line="276" w:lineRule="auto"/>
        <w:ind w:left="1080" w:right="0" w:firstLine="0"/>
        <w:contextualSpacing w:val="0"/>
        <w:jc w:val="left"/>
      </w:pPr>
    </w:p>
    <w:p w14:paraId="1EE0AAE7" w14:textId="06161A18" w:rsidR="006868EF" w:rsidRDefault="00FB5530" w:rsidP="00447845">
      <w:pPr>
        <w:pStyle w:val="ListParagraph"/>
        <w:numPr>
          <w:ilvl w:val="0"/>
          <w:numId w:val="27"/>
        </w:numPr>
        <w:spacing w:after="0" w:line="276" w:lineRule="auto"/>
        <w:ind w:right="0"/>
        <w:contextualSpacing w:val="0"/>
        <w:jc w:val="left"/>
      </w:pPr>
      <w:r>
        <w:t xml:space="preserve">a copy of the leaving service statement from their previous supplementary pension scheme and/or a letter from their former employer or the scheme administrator confirming their employment as an employee in another EU </w:t>
      </w:r>
      <w:r w:rsidR="00695AAA">
        <w:t>M</w:t>
      </w:r>
      <w:r>
        <w:t xml:space="preserve">ember </w:t>
      </w:r>
      <w:r w:rsidR="00695AAA">
        <w:t>S</w:t>
      </w:r>
      <w:r>
        <w:t xml:space="preserve">tate as an active member of a supplementary pension </w:t>
      </w:r>
      <w:proofErr w:type="gramStart"/>
      <w:r>
        <w:t>scheme;</w:t>
      </w:r>
      <w:proofErr w:type="gramEnd"/>
      <w:r>
        <w:t xml:space="preserve"> </w:t>
      </w:r>
    </w:p>
    <w:p w14:paraId="0A1C2AAB" w14:textId="77777777" w:rsidR="00695AAA" w:rsidRDefault="00695AAA" w:rsidP="00447845">
      <w:pPr>
        <w:pStyle w:val="ListParagraph"/>
        <w:spacing w:after="0" w:line="276" w:lineRule="auto"/>
        <w:ind w:left="1080" w:right="0" w:firstLine="0"/>
        <w:contextualSpacing w:val="0"/>
        <w:jc w:val="left"/>
      </w:pPr>
    </w:p>
    <w:p w14:paraId="2C091365" w14:textId="5853272A" w:rsidR="006868EF" w:rsidRDefault="00FB5530" w:rsidP="00447845">
      <w:pPr>
        <w:pStyle w:val="ListParagraph"/>
        <w:numPr>
          <w:ilvl w:val="0"/>
          <w:numId w:val="27"/>
        </w:numPr>
        <w:spacing w:after="0" w:line="276" w:lineRule="auto"/>
        <w:ind w:right="0"/>
        <w:contextualSpacing w:val="0"/>
        <w:jc w:val="left"/>
      </w:pPr>
      <w:r>
        <w:t xml:space="preserve">if there was any period between cessation of that employment in another EU </w:t>
      </w:r>
      <w:r w:rsidR="00695AAA">
        <w:t>M</w:t>
      </w:r>
      <w:r>
        <w:t xml:space="preserve">ember </w:t>
      </w:r>
      <w:r w:rsidR="00695AAA">
        <w:t>S</w:t>
      </w:r>
      <w:r>
        <w:t xml:space="preserve">tate and commencement of new employment, evidence that the new </w:t>
      </w:r>
      <w:r>
        <w:lastRenderedPageBreak/>
        <w:t>employee was not in employment during that period e.g.</w:t>
      </w:r>
      <w:r w:rsidR="006E448A">
        <w:t>,</w:t>
      </w:r>
      <w:r>
        <w:t xml:space="preserve"> receipt of social welfare benefit. </w:t>
      </w:r>
    </w:p>
    <w:p w14:paraId="1C26E1D5" w14:textId="77777777" w:rsidR="00447845" w:rsidRDefault="00447845" w:rsidP="00447845">
      <w:pPr>
        <w:spacing w:after="0" w:line="276" w:lineRule="auto"/>
        <w:ind w:left="-5" w:right="0"/>
        <w:jc w:val="left"/>
      </w:pPr>
    </w:p>
    <w:p w14:paraId="7339DB5C" w14:textId="592283CB" w:rsidR="006868EF" w:rsidRDefault="00FB5530" w:rsidP="00447845">
      <w:pPr>
        <w:spacing w:after="0" w:line="276" w:lineRule="auto"/>
        <w:ind w:left="-5" w:right="0"/>
        <w:jc w:val="left"/>
      </w:pPr>
      <w:r>
        <w:t xml:space="preserve">If a new employee is an Outgoing Worker on commencing service or, where applicable, the Relevant Date they will remain an Outgoing Worker for </w:t>
      </w:r>
      <w:proofErr w:type="gramStart"/>
      <w:r>
        <w:t>all of</w:t>
      </w:r>
      <w:proofErr w:type="gramEnd"/>
      <w:r>
        <w:t xml:space="preserve"> the purposes of that employment and any scheme related to that employment. </w:t>
      </w:r>
    </w:p>
    <w:p w14:paraId="4A5D70FE" w14:textId="77777777" w:rsidR="00447845" w:rsidRDefault="00447845" w:rsidP="00447845">
      <w:pPr>
        <w:spacing w:after="0" w:line="276" w:lineRule="auto"/>
        <w:ind w:left="-5" w:right="0"/>
        <w:jc w:val="left"/>
      </w:pPr>
    </w:p>
    <w:p w14:paraId="0DA1582E" w14:textId="77777777" w:rsidR="006868EF" w:rsidRDefault="00FB5530" w:rsidP="00447845">
      <w:pPr>
        <w:pStyle w:val="Heading3"/>
      </w:pPr>
      <w:bookmarkStart w:id="6" w:name="_Toc130906096"/>
      <w:r>
        <w:t>Leaving service</w:t>
      </w:r>
      <w:bookmarkEnd w:id="6"/>
      <w:r>
        <w:t xml:space="preserve">  </w:t>
      </w:r>
    </w:p>
    <w:p w14:paraId="01C084A7" w14:textId="20CB0769" w:rsidR="006868EF" w:rsidRDefault="00FB5530" w:rsidP="00447845">
      <w:pPr>
        <w:spacing w:after="0" w:line="276" w:lineRule="auto"/>
        <w:ind w:left="-5" w:right="0"/>
        <w:jc w:val="left"/>
      </w:pPr>
      <w:r>
        <w:t xml:space="preserve">If an active member of a scheme leaves service in relevant employment, the trustees should, at the point of leaving that employment, make appropriate enquiries of the member to ascertain whether that member is an Outgoing Worker. If, having made such enquiries, the trustees are of the view that the member is proposing to take up employment in another EU </w:t>
      </w:r>
      <w:r w:rsidR="00695AAA">
        <w:t>M</w:t>
      </w:r>
      <w:r>
        <w:t xml:space="preserve">ember </w:t>
      </w:r>
      <w:r w:rsidR="00695AAA">
        <w:t>S</w:t>
      </w:r>
      <w:r>
        <w:t xml:space="preserve">tate or it is not clear whether the member is proposing to do so, that member may be an Outgoing Worker.     </w:t>
      </w:r>
    </w:p>
    <w:p w14:paraId="51ADA706" w14:textId="77777777" w:rsidR="006868EF" w:rsidRDefault="00FB5530" w:rsidP="00447845">
      <w:pPr>
        <w:spacing w:after="0" w:line="276" w:lineRule="auto"/>
        <w:ind w:left="-5" w:right="0"/>
        <w:jc w:val="left"/>
      </w:pPr>
      <w:r>
        <w:t xml:space="preserve">On leaving service in relevant employment and ceasing to be an active member of the scheme, trustees should ask the member: </w:t>
      </w:r>
    </w:p>
    <w:p w14:paraId="0DED7F68" w14:textId="0924BBD6" w:rsidR="006868EF" w:rsidRDefault="00FB5530" w:rsidP="00447845">
      <w:pPr>
        <w:pStyle w:val="ListParagraph"/>
        <w:numPr>
          <w:ilvl w:val="0"/>
          <w:numId w:val="29"/>
        </w:numPr>
        <w:spacing w:after="0" w:line="276" w:lineRule="auto"/>
        <w:ind w:right="0"/>
        <w:contextualSpacing w:val="0"/>
        <w:jc w:val="left"/>
      </w:pPr>
      <w:r>
        <w:t xml:space="preserve">whether they are leaving employment to take up employment in another EU </w:t>
      </w:r>
      <w:r w:rsidR="008D1CAF">
        <w:t>M</w:t>
      </w:r>
      <w:r>
        <w:t xml:space="preserve">ember </w:t>
      </w:r>
      <w:r w:rsidR="008D1CAF">
        <w:t>S</w:t>
      </w:r>
      <w:r>
        <w:t xml:space="preserve">tate; and </w:t>
      </w:r>
    </w:p>
    <w:p w14:paraId="5AB73247" w14:textId="77777777" w:rsidR="007845E4" w:rsidRDefault="007845E4" w:rsidP="00447845">
      <w:pPr>
        <w:pStyle w:val="ListParagraph"/>
        <w:spacing w:after="0" w:line="276" w:lineRule="auto"/>
        <w:ind w:right="0" w:firstLine="0"/>
        <w:contextualSpacing w:val="0"/>
        <w:jc w:val="left"/>
      </w:pPr>
    </w:p>
    <w:p w14:paraId="6B3D6450" w14:textId="6E6BB1CF" w:rsidR="006868EF" w:rsidRDefault="00FB5530" w:rsidP="00447845">
      <w:pPr>
        <w:pStyle w:val="ListParagraph"/>
        <w:numPr>
          <w:ilvl w:val="0"/>
          <w:numId w:val="29"/>
        </w:numPr>
        <w:spacing w:after="0" w:line="276" w:lineRule="auto"/>
        <w:ind w:right="0"/>
        <w:contextualSpacing w:val="0"/>
        <w:jc w:val="left"/>
      </w:pPr>
      <w:r>
        <w:t xml:space="preserve">if so, for evidence of that (evidence might include a letter from their new employer confirming that they are taking up employment in another EU </w:t>
      </w:r>
      <w:r w:rsidR="008D1CAF">
        <w:t>M</w:t>
      </w:r>
      <w:r>
        <w:t xml:space="preserve">ember </w:t>
      </w:r>
      <w:r w:rsidR="008D1CAF">
        <w:t>S</w:t>
      </w:r>
      <w:r>
        <w:t xml:space="preserve">tate). </w:t>
      </w:r>
    </w:p>
    <w:p w14:paraId="2D3E3F5C" w14:textId="77777777" w:rsidR="006868EF" w:rsidRDefault="00FB5530" w:rsidP="00447845">
      <w:pPr>
        <w:pStyle w:val="Heading3"/>
      </w:pPr>
      <w:bookmarkStart w:id="7" w:name="_Toc130906097"/>
      <w:r>
        <w:t>When is a person an Outgoing Worker on leaving service?</w:t>
      </w:r>
      <w:bookmarkEnd w:id="7"/>
      <w:r>
        <w:t xml:space="preserve"> </w:t>
      </w:r>
    </w:p>
    <w:p w14:paraId="48116E49" w14:textId="77777777" w:rsidR="006868EF" w:rsidRDefault="00FB5530" w:rsidP="00447845">
      <w:pPr>
        <w:spacing w:after="0" w:line="276" w:lineRule="auto"/>
        <w:ind w:left="-5" w:right="0"/>
        <w:jc w:val="left"/>
      </w:pPr>
      <w:r>
        <w:t xml:space="preserve">A person is an Outgoing Worker where they: </w:t>
      </w:r>
    </w:p>
    <w:p w14:paraId="5FC0B365" w14:textId="77777777" w:rsidR="006868EF" w:rsidRDefault="00FB5530" w:rsidP="00447845">
      <w:pPr>
        <w:pStyle w:val="ListParagraph"/>
        <w:numPr>
          <w:ilvl w:val="0"/>
          <w:numId w:val="31"/>
        </w:numPr>
        <w:spacing w:after="0" w:line="276" w:lineRule="auto"/>
        <w:ind w:right="0"/>
        <w:contextualSpacing w:val="0"/>
        <w:jc w:val="left"/>
      </w:pPr>
      <w:r>
        <w:t xml:space="preserve">were an Outgoing Worker on commencing service, or  </w:t>
      </w:r>
    </w:p>
    <w:p w14:paraId="2A2C02F1" w14:textId="77777777" w:rsidR="006E448A" w:rsidRDefault="006E448A" w:rsidP="00447845">
      <w:pPr>
        <w:pStyle w:val="ListParagraph"/>
        <w:spacing w:after="0" w:line="276" w:lineRule="auto"/>
        <w:ind w:right="0" w:firstLine="0"/>
        <w:contextualSpacing w:val="0"/>
        <w:jc w:val="left"/>
      </w:pPr>
    </w:p>
    <w:p w14:paraId="7EAF1177" w14:textId="44A8DB76" w:rsidR="006868EF" w:rsidRDefault="00FB5530" w:rsidP="00447845">
      <w:pPr>
        <w:pStyle w:val="ListParagraph"/>
        <w:numPr>
          <w:ilvl w:val="0"/>
          <w:numId w:val="31"/>
        </w:numPr>
        <w:spacing w:after="0" w:line="276" w:lineRule="auto"/>
        <w:ind w:right="0"/>
        <w:contextualSpacing w:val="0"/>
        <w:jc w:val="left"/>
      </w:pPr>
      <w:r>
        <w:t xml:space="preserve">leave service in relevant employment as an active member of a scheme in circumstances where the next employment they commence after leaving that employment is employment in another EU </w:t>
      </w:r>
      <w:r w:rsidR="008D1CAF">
        <w:t>M</w:t>
      </w:r>
      <w:r>
        <w:t xml:space="preserve">ember </w:t>
      </w:r>
      <w:r w:rsidR="008D1CAF">
        <w:t>S</w:t>
      </w:r>
      <w:r>
        <w:t xml:space="preserve">tate.   </w:t>
      </w:r>
    </w:p>
    <w:p w14:paraId="7C89A2FC" w14:textId="77777777" w:rsidR="00447845" w:rsidRDefault="00447845" w:rsidP="00447845">
      <w:pPr>
        <w:spacing w:after="0" w:line="276" w:lineRule="auto"/>
        <w:ind w:left="-5" w:right="0"/>
        <w:jc w:val="left"/>
      </w:pPr>
    </w:p>
    <w:p w14:paraId="1D3DF207" w14:textId="7DC4A8B8" w:rsidR="006868EF" w:rsidRDefault="00FB5530" w:rsidP="00447845">
      <w:pPr>
        <w:spacing w:after="0" w:line="276" w:lineRule="auto"/>
        <w:ind w:left="-5" w:right="0"/>
        <w:jc w:val="left"/>
      </w:pPr>
      <w:r>
        <w:t xml:space="preserve">A person is not an Outgoing Worker where they: </w:t>
      </w:r>
    </w:p>
    <w:p w14:paraId="6C7AAA51" w14:textId="77777777" w:rsidR="006868EF" w:rsidRDefault="00FB5530" w:rsidP="00447845">
      <w:pPr>
        <w:pStyle w:val="ListParagraph"/>
        <w:numPr>
          <w:ilvl w:val="0"/>
          <w:numId w:val="32"/>
        </w:numPr>
        <w:spacing w:after="0" w:line="276" w:lineRule="auto"/>
        <w:ind w:right="0"/>
        <w:contextualSpacing w:val="0"/>
        <w:jc w:val="left"/>
      </w:pPr>
      <w:proofErr w:type="spellStart"/>
      <w:r>
        <w:t>were</w:t>
      </w:r>
      <w:proofErr w:type="spellEnd"/>
      <w:r>
        <w:t xml:space="preserve"> not an Outgoing Worker on commencing service, and  </w:t>
      </w:r>
    </w:p>
    <w:p w14:paraId="6DCD1480" w14:textId="77777777" w:rsidR="006E448A" w:rsidRDefault="006E448A" w:rsidP="00447845">
      <w:pPr>
        <w:pStyle w:val="ListParagraph"/>
        <w:spacing w:after="0" w:line="276" w:lineRule="auto"/>
        <w:ind w:right="0" w:firstLine="0"/>
        <w:contextualSpacing w:val="0"/>
        <w:jc w:val="left"/>
      </w:pPr>
    </w:p>
    <w:p w14:paraId="38E4D2F9" w14:textId="73003FF3" w:rsidR="006868EF" w:rsidRDefault="00FB5530" w:rsidP="00447845">
      <w:pPr>
        <w:pStyle w:val="ListParagraph"/>
        <w:numPr>
          <w:ilvl w:val="0"/>
          <w:numId w:val="32"/>
        </w:numPr>
        <w:spacing w:after="0" w:line="276" w:lineRule="auto"/>
        <w:ind w:right="0"/>
        <w:contextualSpacing w:val="0"/>
        <w:jc w:val="left"/>
      </w:pPr>
      <w:r>
        <w:t xml:space="preserve">leave service in relevant employment as an active member of a scheme in circumstances where the next employment they commence after leaving that employment is not employment in another EU </w:t>
      </w:r>
      <w:r w:rsidR="008D1CAF">
        <w:t>M</w:t>
      </w:r>
      <w:r>
        <w:t xml:space="preserve">ember </w:t>
      </w:r>
      <w:r w:rsidR="008D1CAF">
        <w:t>S</w:t>
      </w:r>
      <w:r>
        <w:t xml:space="preserve">tate.   </w:t>
      </w:r>
    </w:p>
    <w:p w14:paraId="4875DDA7" w14:textId="77777777" w:rsidR="00447845" w:rsidRDefault="00447845" w:rsidP="00447845">
      <w:pPr>
        <w:spacing w:after="0" w:line="276" w:lineRule="auto"/>
        <w:ind w:left="-5" w:right="0"/>
        <w:jc w:val="left"/>
      </w:pPr>
    </w:p>
    <w:p w14:paraId="61B99EB3" w14:textId="77777777" w:rsidR="00447845" w:rsidRDefault="00FB5530" w:rsidP="00447845">
      <w:pPr>
        <w:spacing w:after="0" w:line="276" w:lineRule="auto"/>
        <w:ind w:left="-5" w:right="0"/>
        <w:jc w:val="left"/>
      </w:pPr>
      <w:r>
        <w:t xml:space="preserve">In each case, trustees or employers will have ascertained whether (a) is the case at the point at which the person has commenced service (or, if later, the Relevant Date). </w:t>
      </w:r>
    </w:p>
    <w:p w14:paraId="061A76F1" w14:textId="77777777" w:rsidR="00447845" w:rsidRDefault="00447845" w:rsidP="00447845">
      <w:pPr>
        <w:spacing w:after="0" w:line="276" w:lineRule="auto"/>
        <w:ind w:left="-5" w:right="0"/>
        <w:jc w:val="left"/>
      </w:pPr>
    </w:p>
    <w:p w14:paraId="3D7E6383" w14:textId="290A2AD8" w:rsidR="006868EF" w:rsidRDefault="00FB5530" w:rsidP="00447845">
      <w:pPr>
        <w:spacing w:after="0" w:line="276" w:lineRule="auto"/>
        <w:ind w:left="-5" w:right="0"/>
        <w:jc w:val="left"/>
      </w:pPr>
      <w:r>
        <w:t xml:space="preserve">Trustees will be able to ascertain whether (b) is the case by making appropriate enquiries at the point of a </w:t>
      </w:r>
      <w:proofErr w:type="gramStart"/>
      <w:r>
        <w:t>member leaving</w:t>
      </w:r>
      <w:proofErr w:type="gramEnd"/>
      <w:r>
        <w:t xml:space="preserve"> service where, at that time, the member is immediately taking up a new employment.   </w:t>
      </w:r>
    </w:p>
    <w:p w14:paraId="167B4AD3" w14:textId="77777777" w:rsidR="00447845" w:rsidRDefault="00447845" w:rsidP="00447845">
      <w:pPr>
        <w:spacing w:after="0" w:line="276" w:lineRule="auto"/>
        <w:ind w:left="-5" w:right="0"/>
        <w:jc w:val="left"/>
      </w:pPr>
    </w:p>
    <w:p w14:paraId="34BC7640" w14:textId="4051A031" w:rsidR="006868EF" w:rsidRDefault="00FB5530" w:rsidP="00447845">
      <w:pPr>
        <w:spacing w:after="0" w:line="276" w:lineRule="auto"/>
        <w:ind w:left="-5" w:right="0"/>
        <w:jc w:val="left"/>
      </w:pPr>
      <w:r>
        <w:t>In circumstances where a member (who is not already an Outgoing Worker) is leaving service but not immediately taking up a new employment, it will not be possible to determine whether they are an Outgoing Worker at the point in time when such a member leaves service. In that case, trustees should take appropriate steps to ascertain whether they become an Outgoing Worker, e.g.</w:t>
      </w:r>
      <w:r w:rsidR="008D1CAF">
        <w:t>,</w:t>
      </w:r>
      <w:r>
        <w:t xml:space="preserve"> follow up with the relevant </w:t>
      </w:r>
      <w:proofErr w:type="gramStart"/>
      <w:r>
        <w:t>member</w:t>
      </w:r>
      <w:proofErr w:type="gramEnd"/>
      <w:r>
        <w:t xml:space="preserve"> at regular intervals after they leave service. </w:t>
      </w:r>
    </w:p>
    <w:p w14:paraId="72421696" w14:textId="77777777" w:rsidR="00447845" w:rsidRDefault="00447845" w:rsidP="00447845">
      <w:pPr>
        <w:spacing w:after="0" w:line="276" w:lineRule="auto"/>
        <w:ind w:left="-5" w:right="0"/>
        <w:jc w:val="left"/>
      </w:pPr>
    </w:p>
    <w:p w14:paraId="3D11510A" w14:textId="0D1D3483" w:rsidR="006868EF" w:rsidRDefault="00FB5530" w:rsidP="00447845">
      <w:pPr>
        <w:spacing w:after="0" w:line="276" w:lineRule="auto"/>
        <w:ind w:left="-5" w:right="0"/>
        <w:jc w:val="left"/>
      </w:pPr>
      <w:r>
        <w:t xml:space="preserve">Until such time as the trustees have ascertained </w:t>
      </w:r>
      <w:proofErr w:type="gramStart"/>
      <w:r>
        <w:t>whether or not</w:t>
      </w:r>
      <w:proofErr w:type="gramEnd"/>
      <w:r>
        <w:t xml:space="preserve"> the former employee is an Outgoing Worker, the trustees should not take any step which might prejudice such member's rights under the Act, as amended by the Regulations.  </w:t>
      </w:r>
    </w:p>
    <w:p w14:paraId="31BFFCC5" w14:textId="77777777" w:rsidR="00447845" w:rsidRDefault="00447845" w:rsidP="00447845">
      <w:pPr>
        <w:pStyle w:val="Heading3"/>
      </w:pPr>
      <w:bookmarkStart w:id="8" w:name="_Toc130906098"/>
    </w:p>
    <w:p w14:paraId="5A8C48BF" w14:textId="3D66F489" w:rsidR="00074792" w:rsidRDefault="00FB5530" w:rsidP="00447845">
      <w:pPr>
        <w:pStyle w:val="Heading3"/>
      </w:pPr>
      <w:r>
        <w:t>Rights and protections afforded to an Outgoing Worker under the Regulations</w:t>
      </w:r>
      <w:bookmarkEnd w:id="8"/>
      <w:r>
        <w:t xml:space="preserve"> </w:t>
      </w:r>
    </w:p>
    <w:p w14:paraId="5C5EB3AA" w14:textId="5D672F3E" w:rsidR="006868EF" w:rsidRDefault="00FB5530" w:rsidP="00447845">
      <w:pPr>
        <w:pStyle w:val="Heading4"/>
      </w:pPr>
      <w:bookmarkStart w:id="9" w:name="_Toc130906099"/>
      <w:r>
        <w:t>Section 32A</w:t>
      </w:r>
      <w:bookmarkEnd w:id="9"/>
      <w:r>
        <w:t xml:space="preserve"> </w:t>
      </w:r>
    </w:p>
    <w:p w14:paraId="381F6217" w14:textId="77777777" w:rsidR="006868EF" w:rsidRDefault="00FB5530" w:rsidP="00447845">
      <w:pPr>
        <w:spacing w:after="0" w:line="276" w:lineRule="auto"/>
        <w:ind w:left="-5" w:right="0"/>
        <w:jc w:val="left"/>
      </w:pPr>
      <w:r>
        <w:t xml:space="preserve">Where an Outgoing Worker is not entitled to a preserved benefit from the scheme at the point of leaving service: </w:t>
      </w:r>
    </w:p>
    <w:p w14:paraId="10AC5143" w14:textId="77777777" w:rsidR="00447845" w:rsidRDefault="00447845" w:rsidP="00447845">
      <w:pPr>
        <w:spacing w:after="0" w:line="276" w:lineRule="auto"/>
        <w:ind w:left="-5" w:right="0"/>
        <w:jc w:val="left"/>
      </w:pPr>
    </w:p>
    <w:p w14:paraId="2702E453" w14:textId="4C47738D" w:rsidR="006868EF" w:rsidRDefault="00FB5530" w:rsidP="00447845">
      <w:pPr>
        <w:pStyle w:val="ListParagraph"/>
        <w:numPr>
          <w:ilvl w:val="0"/>
          <w:numId w:val="34"/>
        </w:numPr>
        <w:spacing w:after="0" w:line="276" w:lineRule="auto"/>
        <w:ind w:right="0"/>
        <w:contextualSpacing w:val="0"/>
        <w:jc w:val="left"/>
      </w:pPr>
      <w:r>
        <w:t>in the case of a defined contribution</w:t>
      </w:r>
      <w:r w:rsidR="007845E4">
        <w:t xml:space="preserve"> (DC)</w:t>
      </w:r>
      <w:r>
        <w:t xml:space="preserve"> scheme, the Outgoing Worker shall be entitled to a refund of the sum of their own and any employer contributions made in respect of the Outgoing Worker to the scheme in respect of periods of employment falling after the Relevant Date (or the investment value of those contributions</w:t>
      </w:r>
      <w:proofErr w:type="gramStart"/>
      <w:r>
        <w:t>);</w:t>
      </w:r>
      <w:proofErr w:type="gramEnd"/>
      <w:r>
        <w:t xml:space="preserve"> </w:t>
      </w:r>
    </w:p>
    <w:p w14:paraId="037EE3BF" w14:textId="77777777" w:rsidR="007845E4" w:rsidRDefault="007845E4" w:rsidP="00447845">
      <w:pPr>
        <w:pStyle w:val="ListParagraph"/>
        <w:spacing w:after="0" w:line="276" w:lineRule="auto"/>
        <w:ind w:right="0" w:firstLine="0"/>
        <w:contextualSpacing w:val="0"/>
        <w:jc w:val="left"/>
      </w:pPr>
    </w:p>
    <w:p w14:paraId="34FE0112" w14:textId="4E007B16" w:rsidR="006868EF" w:rsidRDefault="00FB5530" w:rsidP="00447845">
      <w:pPr>
        <w:pStyle w:val="ListParagraph"/>
        <w:numPr>
          <w:ilvl w:val="0"/>
          <w:numId w:val="34"/>
        </w:numPr>
        <w:spacing w:after="0" w:line="276" w:lineRule="auto"/>
        <w:ind w:right="0"/>
        <w:contextualSpacing w:val="0"/>
        <w:jc w:val="left"/>
      </w:pPr>
      <w:r>
        <w:t xml:space="preserve">in the case of a defined benefit scheme, the Outgoing Worker shall be entitled to a refund of their own contributions to the scheme in respect of periods of employment falling after the Relevant Date. </w:t>
      </w:r>
    </w:p>
    <w:p w14:paraId="13B76185" w14:textId="77777777" w:rsidR="00447845" w:rsidRDefault="00447845" w:rsidP="00447845">
      <w:pPr>
        <w:pStyle w:val="Heading4"/>
      </w:pPr>
      <w:bookmarkStart w:id="10" w:name="_Toc130906100"/>
    </w:p>
    <w:p w14:paraId="0F7BDCDE" w14:textId="3DB63FB9" w:rsidR="006868EF" w:rsidRDefault="00FB5530" w:rsidP="00447845">
      <w:pPr>
        <w:pStyle w:val="Heading4"/>
      </w:pPr>
      <w:r>
        <w:t>Section 35(1A)</w:t>
      </w:r>
      <w:bookmarkEnd w:id="10"/>
      <w:r>
        <w:t xml:space="preserve"> </w:t>
      </w:r>
    </w:p>
    <w:p w14:paraId="1DD4F583" w14:textId="77777777" w:rsidR="006868EF" w:rsidRDefault="00FB5530" w:rsidP="00447845">
      <w:pPr>
        <w:spacing w:after="0" w:line="276" w:lineRule="auto"/>
        <w:ind w:left="-5" w:right="0"/>
        <w:jc w:val="left"/>
      </w:pPr>
      <w:r>
        <w:t xml:space="preserve">Where an Outgoing Worker has a preserved benefit under a scheme, no transfer of the Outgoing Worker's preserved benefit shall be made without the prior written consent of the Outgoing Worker. </w:t>
      </w:r>
    </w:p>
    <w:p w14:paraId="0A9DC242" w14:textId="77777777" w:rsidR="00447845" w:rsidRDefault="00447845" w:rsidP="00447845">
      <w:pPr>
        <w:spacing w:after="0" w:line="276" w:lineRule="auto"/>
        <w:ind w:left="-5" w:right="0"/>
        <w:jc w:val="left"/>
      </w:pPr>
    </w:p>
    <w:p w14:paraId="0DDB534C" w14:textId="77777777" w:rsidR="006868EF" w:rsidRDefault="00FB5530" w:rsidP="00447845">
      <w:pPr>
        <w:pStyle w:val="Heading4"/>
      </w:pPr>
      <w:bookmarkStart w:id="11" w:name="_Toc130906101"/>
      <w:r>
        <w:t>Section 39A</w:t>
      </w:r>
      <w:bookmarkEnd w:id="11"/>
      <w:r>
        <w:t xml:space="preserve"> </w:t>
      </w:r>
    </w:p>
    <w:p w14:paraId="1E21FE6E" w14:textId="77777777" w:rsidR="00447845" w:rsidRDefault="00FB5530" w:rsidP="00447845">
      <w:pPr>
        <w:spacing w:after="0" w:line="276" w:lineRule="auto"/>
        <w:ind w:left="-5" w:right="0"/>
        <w:jc w:val="left"/>
      </w:pPr>
      <w:r>
        <w:t xml:space="preserve">Where section 39A applies, an Outgoing Worker in a waiting period to join a scheme must be permitted to join no longer than 12 months after commencing service with their new employer.  </w:t>
      </w:r>
    </w:p>
    <w:p w14:paraId="321740A2" w14:textId="532A7046" w:rsidR="006868EF" w:rsidRDefault="00FB5530" w:rsidP="00447845">
      <w:pPr>
        <w:spacing w:after="0" w:line="276" w:lineRule="auto"/>
        <w:ind w:left="-5" w:right="0"/>
        <w:jc w:val="left"/>
      </w:pPr>
      <w:r>
        <w:t xml:space="preserve"> </w:t>
      </w:r>
    </w:p>
    <w:p w14:paraId="41175F44" w14:textId="78B03390" w:rsidR="006868EF" w:rsidRDefault="00FB5530" w:rsidP="00447845">
      <w:pPr>
        <w:spacing w:after="0" w:line="276" w:lineRule="auto"/>
        <w:ind w:left="-5" w:right="0"/>
        <w:jc w:val="left"/>
      </w:pPr>
      <w:r>
        <w:t xml:space="preserve">Where an Outgoing Worker in a waiting period to join a scheme commenced service with a new employer prior to the Relevant Date and was in service on the Relevant Date, such an Outgoing Worker must be permitted to join the scheme on the earlier of the expiry date of the waiting period under the rules of the scheme or the expiry date falling after 13 September 2019 of a period of 12 months since the date of joining service. This would require appropriate enquiries to be made by employers of such employees in a waiting period to join a scheme at the Relevant Date as set out under </w:t>
      </w:r>
      <w:r w:rsidR="008D1CAF">
        <w:t>‘</w:t>
      </w:r>
      <w:r w:rsidRPr="008D1CAF">
        <w:rPr>
          <w:iCs/>
        </w:rPr>
        <w:t xml:space="preserve">Commencing </w:t>
      </w:r>
      <w:r w:rsidR="008D1CAF">
        <w:rPr>
          <w:iCs/>
        </w:rPr>
        <w:t>s</w:t>
      </w:r>
      <w:r w:rsidRPr="008D1CAF">
        <w:rPr>
          <w:iCs/>
        </w:rPr>
        <w:t>ervice</w:t>
      </w:r>
      <w:r w:rsidR="008D1CAF">
        <w:t>’</w:t>
      </w:r>
      <w:r>
        <w:t xml:space="preserve"> above. </w:t>
      </w:r>
    </w:p>
    <w:p w14:paraId="0EF063F4" w14:textId="77777777" w:rsidR="00447845" w:rsidRDefault="00447845" w:rsidP="00447845">
      <w:pPr>
        <w:spacing w:after="0" w:line="276" w:lineRule="auto"/>
        <w:ind w:left="-5" w:right="0"/>
        <w:jc w:val="left"/>
      </w:pPr>
    </w:p>
    <w:p w14:paraId="38AE9A6E" w14:textId="77777777" w:rsidR="006868EF" w:rsidRDefault="00FB5530" w:rsidP="00447845">
      <w:pPr>
        <w:pStyle w:val="Heading3"/>
      </w:pPr>
      <w:bookmarkStart w:id="12" w:name="_Toc130906102"/>
      <w:r>
        <w:t>What periods of employment do the Regulations apply to?</w:t>
      </w:r>
      <w:bookmarkEnd w:id="12"/>
      <w:r>
        <w:t xml:space="preserve">   </w:t>
      </w:r>
    </w:p>
    <w:p w14:paraId="1D6748ED" w14:textId="77777777" w:rsidR="006868EF" w:rsidRDefault="00FB5530" w:rsidP="00447845">
      <w:pPr>
        <w:spacing w:after="0" w:line="276" w:lineRule="auto"/>
        <w:ind w:left="-5" w:right="0"/>
        <w:jc w:val="left"/>
      </w:pPr>
      <w:r>
        <w:t xml:space="preserve">The Regulations only apply to periods of employment falling after the Relevant Date.   </w:t>
      </w:r>
    </w:p>
    <w:p w14:paraId="1E657335" w14:textId="77777777" w:rsidR="006868EF" w:rsidRDefault="00FB5530" w:rsidP="00447845">
      <w:pPr>
        <w:spacing w:after="0" w:line="276" w:lineRule="auto"/>
        <w:ind w:left="-5" w:right="0"/>
        <w:jc w:val="left"/>
      </w:pPr>
      <w:r>
        <w:t xml:space="preserve">If an Outgoing Worker has a period of membership in a scheme both prior to and after the Relevant Date, and they leave service in circumstances where: </w:t>
      </w:r>
    </w:p>
    <w:p w14:paraId="32739945" w14:textId="77777777" w:rsidR="00447845" w:rsidRDefault="00447845" w:rsidP="00447845">
      <w:pPr>
        <w:spacing w:after="0" w:line="276" w:lineRule="auto"/>
        <w:ind w:left="-5" w:right="0"/>
        <w:jc w:val="left"/>
      </w:pPr>
    </w:p>
    <w:p w14:paraId="35017A31" w14:textId="77777777" w:rsidR="006868EF" w:rsidRDefault="00FB5530" w:rsidP="00447845">
      <w:pPr>
        <w:pStyle w:val="ListParagraph"/>
        <w:numPr>
          <w:ilvl w:val="0"/>
          <w:numId w:val="35"/>
        </w:numPr>
        <w:spacing w:after="0" w:line="276" w:lineRule="auto"/>
        <w:ind w:right="0"/>
        <w:contextualSpacing w:val="0"/>
        <w:jc w:val="left"/>
      </w:pPr>
      <w:r>
        <w:t xml:space="preserve">section 32A applies, they will be entitled only to a refund of relevant contributions related to employment after that date; or </w:t>
      </w:r>
    </w:p>
    <w:p w14:paraId="6F4E5E01" w14:textId="77777777" w:rsidR="007845E4" w:rsidRDefault="007845E4" w:rsidP="00447845">
      <w:pPr>
        <w:pStyle w:val="ListParagraph"/>
        <w:spacing w:after="0" w:line="276" w:lineRule="auto"/>
        <w:ind w:right="0" w:firstLine="0"/>
        <w:contextualSpacing w:val="0"/>
        <w:jc w:val="left"/>
      </w:pPr>
    </w:p>
    <w:p w14:paraId="14B97DA6" w14:textId="67883461" w:rsidR="006868EF" w:rsidRDefault="00FB5530" w:rsidP="00447845">
      <w:pPr>
        <w:pStyle w:val="ListParagraph"/>
        <w:numPr>
          <w:ilvl w:val="0"/>
          <w:numId w:val="35"/>
        </w:numPr>
        <w:spacing w:after="0" w:line="276" w:lineRule="auto"/>
        <w:ind w:right="0"/>
        <w:contextualSpacing w:val="0"/>
        <w:jc w:val="left"/>
      </w:pPr>
      <w:r>
        <w:t xml:space="preserve">they are entitled to a preserved benefit, section 35(1A) will prevent the element of that preserved benefit related to employment after that date being transferred out </w:t>
      </w:r>
      <w:r>
        <w:lastRenderedPageBreak/>
        <w:t xml:space="preserve">without the Outgoing Worker's written consent. As Revenue will not ordinarily permit split transfers of benefits, in practice, this may mean that no part of the preserved benefit can be transferred out without the Outgoing Worker's prior written consent. </w:t>
      </w:r>
    </w:p>
    <w:p w14:paraId="303F1CA9" w14:textId="77777777" w:rsidR="00447845" w:rsidRDefault="00447845" w:rsidP="00447845">
      <w:pPr>
        <w:pStyle w:val="Heading3"/>
      </w:pPr>
      <w:bookmarkStart w:id="13" w:name="_Toc130906103"/>
    </w:p>
    <w:p w14:paraId="2B160699" w14:textId="1C5CD409" w:rsidR="006868EF" w:rsidRDefault="00FB5530" w:rsidP="00447845">
      <w:pPr>
        <w:pStyle w:val="Heading3"/>
      </w:pPr>
      <w:r>
        <w:t>Equal treatment</w:t>
      </w:r>
      <w:bookmarkEnd w:id="13"/>
      <w:r>
        <w:t xml:space="preserve">  </w:t>
      </w:r>
    </w:p>
    <w:p w14:paraId="0707E564" w14:textId="7F3F582F" w:rsidR="006868EF" w:rsidRDefault="00FB5530" w:rsidP="00447845">
      <w:pPr>
        <w:spacing w:after="0" w:line="276" w:lineRule="auto"/>
        <w:ind w:left="-5" w:right="0"/>
        <w:jc w:val="left"/>
      </w:pPr>
      <w:r>
        <w:t xml:space="preserve">Pension schemes are required to comply with the principle of equal pension treatment in section 70 of the Act. The application of the Regulations to Outgoing Workers may in some circumstances result in a difference of treatment between Outgoing Workers and other persons.   </w:t>
      </w:r>
    </w:p>
    <w:p w14:paraId="54F7DD95" w14:textId="77777777" w:rsidR="006868EF" w:rsidRDefault="00FB5530" w:rsidP="00447845">
      <w:pPr>
        <w:spacing w:after="0" w:line="276" w:lineRule="auto"/>
        <w:ind w:left="-5" w:right="0"/>
        <w:jc w:val="left"/>
      </w:pPr>
      <w:r>
        <w:t>As with any rule of a scheme which applies differing treatment to members of a scheme, trustees and employers should consider whether such differing treatment might amount to a breach of the principle of equal pensions treatment. In particular trustees and employers should consider whether indirect discrimination contrary to that principle arises or might arise. This is a matter for the trustees' and the employer's own legal advice and will depend on the specific circumstances of the scheme.</w:t>
      </w:r>
      <w:r>
        <w:rPr>
          <w:b/>
        </w:rPr>
        <w:t xml:space="preserve"> </w:t>
      </w:r>
    </w:p>
    <w:p w14:paraId="43FC7612" w14:textId="77777777" w:rsidR="006868EF" w:rsidRDefault="00FB5530" w:rsidP="00447845">
      <w:pPr>
        <w:pStyle w:val="Heading3"/>
      </w:pPr>
      <w:bookmarkStart w:id="14" w:name="_Toc130906104"/>
      <w:r>
        <w:t>Tax treatment of refunds of employer contributions</w:t>
      </w:r>
      <w:bookmarkEnd w:id="14"/>
      <w:r>
        <w:t xml:space="preserve"> </w:t>
      </w:r>
    </w:p>
    <w:p w14:paraId="474A5B51" w14:textId="12B01F88" w:rsidR="006868EF" w:rsidRDefault="00FB5530" w:rsidP="00447845">
      <w:pPr>
        <w:spacing w:after="0" w:line="276" w:lineRule="auto"/>
        <w:ind w:left="-5" w:right="0"/>
        <w:jc w:val="left"/>
      </w:pPr>
      <w:r>
        <w:t xml:space="preserve">The ability (in the case of a </w:t>
      </w:r>
      <w:r w:rsidR="007845E4">
        <w:t>DC</w:t>
      </w:r>
      <w:r>
        <w:t xml:space="preserve"> scheme) to refund employer contributions (or the investment value of those contributions) and the tax treatment of refunds payable to members affected by the Regulations is a matter for Revenue and trustees should satisfy themselves as to any conditions or tax treatment that applies to such payments prior to making those payments. </w:t>
      </w:r>
    </w:p>
    <w:sectPr w:rsidR="006868EF">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pgMar w:top="1325" w:right="1130" w:bottom="712"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59D2B" w14:textId="77777777" w:rsidR="00EF681C" w:rsidRDefault="00FB5530">
      <w:pPr>
        <w:spacing w:after="0" w:line="240" w:lineRule="auto"/>
      </w:pPr>
      <w:r>
        <w:separator/>
      </w:r>
    </w:p>
  </w:endnote>
  <w:endnote w:type="continuationSeparator" w:id="0">
    <w:p w14:paraId="7B9F1C85" w14:textId="77777777" w:rsidR="00EF681C" w:rsidRDefault="00FB5530">
      <w:pPr>
        <w:spacing w:after="0" w:line="240" w:lineRule="auto"/>
      </w:pPr>
      <w:r>
        <w:continuationSeparator/>
      </w:r>
    </w:p>
  </w:endnote>
  <w:endnote w:type="continuationNotice" w:id="1">
    <w:p w14:paraId="2456BAD7" w14:textId="77777777" w:rsidR="00FB5530" w:rsidRDefault="00FB55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7DD90" w14:textId="77777777" w:rsidR="006868EF" w:rsidRDefault="00FB5530">
    <w:pPr>
      <w:spacing w:after="0" w:line="259" w:lineRule="auto"/>
      <w:ind w:left="0" w:right="5" w:firstLine="0"/>
      <w:jc w:val="center"/>
    </w:pPr>
    <w:r>
      <w:rPr>
        <w:color w:val="595959"/>
        <w:sz w:val="20"/>
      </w:rPr>
      <w:t xml:space="preserve">Page </w:t>
    </w:r>
    <w:r>
      <w:fldChar w:fldCharType="begin"/>
    </w:r>
    <w:r>
      <w:instrText xml:space="preserve"> PAGE   \* MERGEFORMAT </w:instrText>
    </w:r>
    <w:r>
      <w:fldChar w:fldCharType="separate"/>
    </w:r>
    <w:r>
      <w:rPr>
        <w:color w:val="595959"/>
        <w:sz w:val="20"/>
      </w:rPr>
      <w:t>2</w:t>
    </w:r>
    <w:r>
      <w:rPr>
        <w:color w:val="595959"/>
        <w:sz w:val="20"/>
      </w:rPr>
      <w:fldChar w:fldCharType="end"/>
    </w:r>
    <w:r>
      <w:rPr>
        <w:color w:val="595959"/>
        <w:sz w:val="20"/>
      </w:rPr>
      <w:t xml:space="preserve"> of </w:t>
    </w:r>
    <w:fldSimple w:instr=" NUMPAGES   \* MERGEFORMAT ">
      <w:r>
        <w:rPr>
          <w:color w:val="595959"/>
          <w:sz w:val="20"/>
        </w:rPr>
        <w:t>8</w:t>
      </w:r>
    </w:fldSimple>
    <w:r>
      <w:rPr>
        <w:color w:val="595959"/>
        <w:sz w:val="20"/>
      </w:rPr>
      <w:t xml:space="preserve"> </w:t>
    </w:r>
  </w:p>
  <w:p w14:paraId="012BAD44" w14:textId="77777777" w:rsidR="006868EF" w:rsidRDefault="00FB5530">
    <w:pPr>
      <w:spacing w:after="0" w:line="259" w:lineRule="auto"/>
      <w:ind w:left="0" w:right="0" w:firstLine="0"/>
      <w:jc w:val="left"/>
    </w:pPr>
    <w:r>
      <w:rPr>
        <w:color w:val="595959"/>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5248918"/>
      <w:docPartObj>
        <w:docPartGallery w:val="Page Numbers (Bottom of Page)"/>
        <w:docPartUnique/>
      </w:docPartObj>
    </w:sdtPr>
    <w:sdtEndPr/>
    <w:sdtContent>
      <w:sdt>
        <w:sdtPr>
          <w:id w:val="1728636285"/>
          <w:docPartObj>
            <w:docPartGallery w:val="Page Numbers (Top of Page)"/>
            <w:docPartUnique/>
          </w:docPartObj>
        </w:sdtPr>
        <w:sdtEndPr/>
        <w:sdtContent>
          <w:p w14:paraId="7FE82EEC" w14:textId="08478565" w:rsidR="000D0D42" w:rsidRDefault="000D0D42">
            <w:pPr>
              <w:pStyle w:val="Footer"/>
              <w:jc w:val="center"/>
            </w:pPr>
            <w:r w:rsidRPr="00A168BD">
              <w:rPr>
                <w:rFonts w:ascii="Arial" w:hAnsi="Arial" w:cs="Arial"/>
                <w:sz w:val="20"/>
                <w:szCs w:val="20"/>
                <w:lang w:val="en-GB"/>
              </w:rPr>
              <w:t xml:space="preserve">Page </w:t>
            </w:r>
            <w:r w:rsidRPr="00A168BD">
              <w:rPr>
                <w:rFonts w:ascii="Arial" w:hAnsi="Arial" w:cs="Arial"/>
                <w:b/>
                <w:bCs/>
                <w:sz w:val="20"/>
                <w:szCs w:val="20"/>
              </w:rPr>
              <w:fldChar w:fldCharType="begin"/>
            </w:r>
            <w:r w:rsidRPr="00A168BD">
              <w:rPr>
                <w:rFonts w:ascii="Arial" w:hAnsi="Arial" w:cs="Arial"/>
                <w:b/>
                <w:bCs/>
                <w:sz w:val="20"/>
                <w:szCs w:val="20"/>
              </w:rPr>
              <w:instrText>PAGE</w:instrText>
            </w:r>
            <w:r w:rsidRPr="00A168BD">
              <w:rPr>
                <w:rFonts w:ascii="Arial" w:hAnsi="Arial" w:cs="Arial"/>
                <w:b/>
                <w:bCs/>
                <w:sz w:val="20"/>
                <w:szCs w:val="20"/>
              </w:rPr>
              <w:fldChar w:fldCharType="separate"/>
            </w:r>
            <w:r w:rsidR="00C81613">
              <w:rPr>
                <w:rFonts w:ascii="Arial" w:hAnsi="Arial" w:cs="Arial"/>
                <w:b/>
                <w:bCs/>
                <w:noProof/>
                <w:sz w:val="20"/>
                <w:szCs w:val="20"/>
              </w:rPr>
              <w:t>3</w:t>
            </w:r>
            <w:r w:rsidRPr="00A168BD">
              <w:rPr>
                <w:rFonts w:ascii="Arial" w:hAnsi="Arial" w:cs="Arial"/>
                <w:b/>
                <w:bCs/>
                <w:sz w:val="20"/>
                <w:szCs w:val="20"/>
              </w:rPr>
              <w:fldChar w:fldCharType="end"/>
            </w:r>
            <w:r w:rsidRPr="00A168BD">
              <w:rPr>
                <w:rFonts w:ascii="Arial" w:hAnsi="Arial" w:cs="Arial"/>
                <w:sz w:val="20"/>
                <w:szCs w:val="20"/>
                <w:lang w:val="en-GB"/>
              </w:rPr>
              <w:t xml:space="preserve"> of </w:t>
            </w:r>
            <w:r w:rsidRPr="00A168BD">
              <w:rPr>
                <w:rFonts w:ascii="Arial" w:hAnsi="Arial" w:cs="Arial"/>
                <w:b/>
                <w:bCs/>
                <w:sz w:val="20"/>
                <w:szCs w:val="20"/>
              </w:rPr>
              <w:fldChar w:fldCharType="begin"/>
            </w:r>
            <w:r w:rsidRPr="00A168BD">
              <w:rPr>
                <w:rFonts w:ascii="Arial" w:hAnsi="Arial" w:cs="Arial"/>
                <w:b/>
                <w:bCs/>
                <w:sz w:val="20"/>
                <w:szCs w:val="20"/>
              </w:rPr>
              <w:instrText>NUMPAGES</w:instrText>
            </w:r>
            <w:r w:rsidRPr="00A168BD">
              <w:rPr>
                <w:rFonts w:ascii="Arial" w:hAnsi="Arial" w:cs="Arial"/>
                <w:b/>
                <w:bCs/>
                <w:sz w:val="20"/>
                <w:szCs w:val="20"/>
              </w:rPr>
              <w:fldChar w:fldCharType="separate"/>
            </w:r>
            <w:r w:rsidR="00C81613">
              <w:rPr>
                <w:rFonts w:ascii="Arial" w:hAnsi="Arial" w:cs="Arial"/>
                <w:b/>
                <w:bCs/>
                <w:noProof/>
                <w:sz w:val="20"/>
                <w:szCs w:val="20"/>
              </w:rPr>
              <w:t>8</w:t>
            </w:r>
            <w:r w:rsidRPr="00A168BD">
              <w:rPr>
                <w:rFonts w:ascii="Arial" w:hAnsi="Arial" w:cs="Arial"/>
                <w:b/>
                <w:bCs/>
                <w:sz w:val="20"/>
                <w:szCs w:val="20"/>
              </w:rPr>
              <w:fldChar w:fldCharType="end"/>
            </w:r>
          </w:p>
        </w:sdtContent>
      </w:sdt>
    </w:sdtContent>
  </w:sdt>
  <w:p w14:paraId="18E9F819" w14:textId="6BDC5CFC" w:rsidR="006868EF" w:rsidRDefault="006868EF">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2A56B" w14:textId="02B33CCD" w:rsidR="006868EF" w:rsidRPr="00A168BD" w:rsidRDefault="000D0D42" w:rsidP="00A168BD">
    <w:pPr>
      <w:spacing w:after="160" w:line="259" w:lineRule="auto"/>
      <w:ind w:left="0" w:right="0" w:firstLine="0"/>
      <w:jc w:val="right"/>
      <w:rPr>
        <w:sz w:val="20"/>
        <w:szCs w:val="18"/>
        <w:lang w:val="en-IE"/>
      </w:rPr>
    </w:pPr>
    <w:r w:rsidRPr="00A168BD">
      <w:rPr>
        <w:sz w:val="20"/>
        <w:szCs w:val="18"/>
        <w:lang w:val="en-IE"/>
      </w:rPr>
      <w:t>Date published: November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51EBE" w14:textId="77777777" w:rsidR="006868EF" w:rsidRDefault="00FB5530">
      <w:pPr>
        <w:spacing w:after="0" w:line="254" w:lineRule="auto"/>
        <w:ind w:left="0" w:right="9" w:firstLine="0"/>
      </w:pPr>
      <w:r>
        <w:separator/>
      </w:r>
    </w:p>
  </w:footnote>
  <w:footnote w:type="continuationSeparator" w:id="0">
    <w:p w14:paraId="1A06047C" w14:textId="77777777" w:rsidR="006868EF" w:rsidRDefault="00FB5530">
      <w:pPr>
        <w:spacing w:after="0" w:line="254" w:lineRule="auto"/>
        <w:ind w:left="0" w:right="9" w:firstLine="0"/>
      </w:pPr>
      <w:r>
        <w:continuationSeparator/>
      </w:r>
    </w:p>
  </w:footnote>
  <w:footnote w:type="continuationNotice" w:id="1">
    <w:p w14:paraId="0500A058" w14:textId="77777777" w:rsidR="00FB5530" w:rsidRDefault="00FB5530">
      <w:pPr>
        <w:spacing w:after="0" w:line="240" w:lineRule="auto"/>
      </w:pPr>
    </w:p>
  </w:footnote>
  <w:footnote w:id="2">
    <w:p w14:paraId="2EA840C4" w14:textId="77777777" w:rsidR="006868EF" w:rsidRDefault="00FB5530">
      <w:pPr>
        <w:pStyle w:val="footnotedescription"/>
      </w:pPr>
      <w:r>
        <w:rPr>
          <w:rStyle w:val="footnotemark"/>
        </w:rPr>
        <w:footnoteRef/>
      </w:r>
      <w:r>
        <w:t xml:space="preserve"> Directive 2014/50/EU of the European Parliament and of the Council of 16 April 2014 on minimum requirements for enhancing worker mobility between Member States by improving the acquisition and preservation of supplementary pension rights. </w:t>
      </w:r>
      <w:r>
        <w:rPr>
          <w:i/>
          <w:color w:val="595959"/>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39AA7" w14:textId="77777777" w:rsidR="006868EF" w:rsidRDefault="00FB5530">
    <w:pPr>
      <w:spacing w:after="0" w:line="259" w:lineRule="auto"/>
      <w:ind w:left="0" w:right="0" w:firstLine="0"/>
      <w:jc w:val="left"/>
    </w:pPr>
    <w:r>
      <w:rPr>
        <w:sz w:val="20"/>
      </w:rPr>
      <w:t xml:space="preserve">November 2019 </w:t>
    </w:r>
  </w:p>
  <w:p w14:paraId="7090D99F" w14:textId="77777777" w:rsidR="006868EF" w:rsidRDefault="00FB5530">
    <w:pPr>
      <w:spacing w:after="0" w:line="259" w:lineRule="auto"/>
      <w:ind w:left="0" w:right="0" w:firstLine="0"/>
      <w:jc w:val="left"/>
    </w:pPr>
    <w:r>
      <w:rPr>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18B58" w14:textId="0D9309AC" w:rsidR="006868EF" w:rsidRDefault="00285CDE" w:rsidP="00A168BD">
    <w:pPr>
      <w:spacing w:after="0" w:line="259" w:lineRule="auto"/>
      <w:ind w:left="0" w:right="0" w:firstLine="0"/>
      <w:jc w:val="center"/>
    </w:pPr>
    <w:r>
      <w:rPr>
        <w:noProof/>
        <w:lang w:val="en-IE" w:eastAsia="en-IE"/>
      </w:rPr>
      <w:drawing>
        <wp:inline distT="0" distB="0" distL="0" distR="0" wp14:anchorId="48E0ECD9" wp14:editId="3AC906A0">
          <wp:extent cx="1618488" cy="539496"/>
          <wp:effectExtent l="0" t="0" r="1270" b="0"/>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8488" cy="53949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0EE0D" w14:textId="1AAA6303" w:rsidR="006868EF" w:rsidRDefault="005F3FD3" w:rsidP="00A168BD">
    <w:pPr>
      <w:spacing w:after="160" w:line="259" w:lineRule="auto"/>
      <w:ind w:left="0" w:right="0" w:firstLine="0"/>
      <w:jc w:val="center"/>
    </w:pPr>
    <w:r>
      <w:rPr>
        <w:noProof/>
        <w:lang w:val="en-IE" w:eastAsia="en-IE"/>
      </w:rPr>
      <w:drawing>
        <wp:inline distT="0" distB="0" distL="0" distR="0" wp14:anchorId="15A52955" wp14:editId="38AD0BC7">
          <wp:extent cx="1618488" cy="539496"/>
          <wp:effectExtent l="0" t="0" r="1270" b="0"/>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8488" cy="5394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04C6"/>
    <w:multiLevelType w:val="hybridMultilevel"/>
    <w:tmpl w:val="82F8D0A0"/>
    <w:lvl w:ilvl="0" w:tplc="1264E45E">
      <w:start w:val="1"/>
      <w:numFmt w:val="bullet"/>
      <w:lvlText w:val="•"/>
      <w:lvlJc w:val="left"/>
      <w:pPr>
        <w:ind w:left="1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22D472">
      <w:start w:val="1"/>
      <w:numFmt w:val="bullet"/>
      <w:lvlText w:val=""/>
      <w:lvlJc w:val="left"/>
      <w:pPr>
        <w:ind w:left="17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86A2A78">
      <w:start w:val="1"/>
      <w:numFmt w:val="bullet"/>
      <w:lvlText w:val="▪"/>
      <w:lvlJc w:val="left"/>
      <w:pPr>
        <w:ind w:left="24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0306E2C">
      <w:start w:val="1"/>
      <w:numFmt w:val="bullet"/>
      <w:lvlText w:val="•"/>
      <w:lvlJc w:val="left"/>
      <w:pPr>
        <w:ind w:left="31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E84FF46">
      <w:start w:val="1"/>
      <w:numFmt w:val="bullet"/>
      <w:lvlText w:val="o"/>
      <w:lvlJc w:val="left"/>
      <w:pPr>
        <w:ind w:left="38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B389D4C">
      <w:start w:val="1"/>
      <w:numFmt w:val="bullet"/>
      <w:lvlText w:val="▪"/>
      <w:lvlJc w:val="left"/>
      <w:pPr>
        <w:ind w:left="45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BB45366">
      <w:start w:val="1"/>
      <w:numFmt w:val="bullet"/>
      <w:lvlText w:val="•"/>
      <w:lvlJc w:val="left"/>
      <w:pPr>
        <w:ind w:left="53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CE01E18">
      <w:start w:val="1"/>
      <w:numFmt w:val="bullet"/>
      <w:lvlText w:val="o"/>
      <w:lvlJc w:val="left"/>
      <w:pPr>
        <w:ind w:left="60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2522474">
      <w:start w:val="1"/>
      <w:numFmt w:val="bullet"/>
      <w:lvlText w:val="▪"/>
      <w:lvlJc w:val="left"/>
      <w:pPr>
        <w:ind w:left="67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6333B7"/>
    <w:multiLevelType w:val="hybridMultilevel"/>
    <w:tmpl w:val="5A0AC3C0"/>
    <w:lvl w:ilvl="0" w:tplc="4EB04680">
      <w:start w:val="1"/>
      <w:numFmt w:val="bullet"/>
      <w:lvlText w:val="•"/>
      <w:lvlJc w:val="left"/>
      <w:pPr>
        <w:ind w:left="1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528BF04">
      <w:start w:val="1"/>
      <w:numFmt w:val="bullet"/>
      <w:lvlText w:val="o"/>
      <w:lvlJc w:val="left"/>
      <w:pPr>
        <w:ind w:left="17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BC2A6C">
      <w:start w:val="1"/>
      <w:numFmt w:val="bullet"/>
      <w:lvlText w:val="▪"/>
      <w:lvlJc w:val="left"/>
      <w:pPr>
        <w:ind w:left="24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6CA4A0E">
      <w:start w:val="1"/>
      <w:numFmt w:val="bullet"/>
      <w:lvlText w:val="•"/>
      <w:lvlJc w:val="left"/>
      <w:pPr>
        <w:ind w:left="3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DEF01E">
      <w:start w:val="1"/>
      <w:numFmt w:val="bullet"/>
      <w:lvlText w:val="o"/>
      <w:lvlJc w:val="left"/>
      <w:pPr>
        <w:ind w:left="38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F6BBE6">
      <w:start w:val="1"/>
      <w:numFmt w:val="bullet"/>
      <w:lvlText w:val="▪"/>
      <w:lvlJc w:val="left"/>
      <w:pPr>
        <w:ind w:left="45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A2A3B2C">
      <w:start w:val="1"/>
      <w:numFmt w:val="bullet"/>
      <w:lvlText w:val="•"/>
      <w:lvlJc w:val="left"/>
      <w:pPr>
        <w:ind w:left="53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EEBF92">
      <w:start w:val="1"/>
      <w:numFmt w:val="bullet"/>
      <w:lvlText w:val="o"/>
      <w:lvlJc w:val="left"/>
      <w:pPr>
        <w:ind w:left="60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B525230">
      <w:start w:val="1"/>
      <w:numFmt w:val="bullet"/>
      <w:lvlText w:val="▪"/>
      <w:lvlJc w:val="left"/>
      <w:pPr>
        <w:ind w:left="67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2A590B"/>
    <w:multiLevelType w:val="hybridMultilevel"/>
    <w:tmpl w:val="80D4DDFE"/>
    <w:lvl w:ilvl="0" w:tplc="EEC00346">
      <w:start w:val="1"/>
      <w:numFmt w:val="lowerLetter"/>
      <w:lvlText w:val="(%1)"/>
      <w:lvlJc w:val="left"/>
      <w:pPr>
        <w:ind w:left="1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580F6A">
      <w:start w:val="1"/>
      <w:numFmt w:val="lowerLetter"/>
      <w:lvlText w:val="%2"/>
      <w:lvlJc w:val="left"/>
      <w:pPr>
        <w:ind w:left="17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51662AC">
      <w:start w:val="1"/>
      <w:numFmt w:val="lowerRoman"/>
      <w:lvlText w:val="%3"/>
      <w:lvlJc w:val="left"/>
      <w:pPr>
        <w:ind w:left="24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D6AB0A6">
      <w:start w:val="1"/>
      <w:numFmt w:val="decimal"/>
      <w:lvlText w:val="%4"/>
      <w:lvlJc w:val="left"/>
      <w:pPr>
        <w:ind w:left="3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04D11C">
      <w:start w:val="1"/>
      <w:numFmt w:val="lowerLetter"/>
      <w:lvlText w:val="%5"/>
      <w:lvlJc w:val="left"/>
      <w:pPr>
        <w:ind w:left="38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3DEB950">
      <w:start w:val="1"/>
      <w:numFmt w:val="lowerRoman"/>
      <w:lvlText w:val="%6"/>
      <w:lvlJc w:val="left"/>
      <w:pPr>
        <w:ind w:left="45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266F4C2">
      <w:start w:val="1"/>
      <w:numFmt w:val="decimal"/>
      <w:lvlText w:val="%7"/>
      <w:lvlJc w:val="left"/>
      <w:pPr>
        <w:ind w:left="53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C29D68">
      <w:start w:val="1"/>
      <w:numFmt w:val="lowerLetter"/>
      <w:lvlText w:val="%8"/>
      <w:lvlJc w:val="left"/>
      <w:pPr>
        <w:ind w:left="60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CFC5F0A">
      <w:start w:val="1"/>
      <w:numFmt w:val="lowerRoman"/>
      <w:lvlText w:val="%9"/>
      <w:lvlJc w:val="left"/>
      <w:pPr>
        <w:ind w:left="67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FFA1ACC"/>
    <w:multiLevelType w:val="hybridMultilevel"/>
    <w:tmpl w:val="7D8CFDFA"/>
    <w:lvl w:ilvl="0" w:tplc="3C2A8CE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25B6E74"/>
    <w:multiLevelType w:val="hybridMultilevel"/>
    <w:tmpl w:val="5E8A2A0E"/>
    <w:lvl w:ilvl="0" w:tplc="3C2A8CE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8B04141"/>
    <w:multiLevelType w:val="hybridMultilevel"/>
    <w:tmpl w:val="3A0AF83C"/>
    <w:lvl w:ilvl="0" w:tplc="B4EA0310">
      <w:start w:val="1"/>
      <w:numFmt w:val="bullet"/>
      <w:lvlText w:val="•"/>
      <w:lvlJc w:val="left"/>
      <w:pPr>
        <w:ind w:left="1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B4D012">
      <w:start w:val="1"/>
      <w:numFmt w:val="bullet"/>
      <w:lvlText w:val="o"/>
      <w:lvlJc w:val="left"/>
      <w:pPr>
        <w:ind w:left="17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021CFC">
      <w:start w:val="1"/>
      <w:numFmt w:val="bullet"/>
      <w:lvlText w:val="▪"/>
      <w:lvlJc w:val="left"/>
      <w:pPr>
        <w:ind w:left="24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6488A40">
      <w:start w:val="1"/>
      <w:numFmt w:val="bullet"/>
      <w:lvlText w:val="•"/>
      <w:lvlJc w:val="left"/>
      <w:pPr>
        <w:ind w:left="3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7A37A2">
      <w:start w:val="1"/>
      <w:numFmt w:val="bullet"/>
      <w:lvlText w:val="o"/>
      <w:lvlJc w:val="left"/>
      <w:pPr>
        <w:ind w:left="38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28FC0C">
      <w:start w:val="1"/>
      <w:numFmt w:val="bullet"/>
      <w:lvlText w:val="▪"/>
      <w:lvlJc w:val="left"/>
      <w:pPr>
        <w:ind w:left="45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5BE77C2">
      <w:start w:val="1"/>
      <w:numFmt w:val="bullet"/>
      <w:lvlText w:val="•"/>
      <w:lvlJc w:val="left"/>
      <w:pPr>
        <w:ind w:left="53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6ADF90">
      <w:start w:val="1"/>
      <w:numFmt w:val="bullet"/>
      <w:lvlText w:val="o"/>
      <w:lvlJc w:val="left"/>
      <w:pPr>
        <w:ind w:left="60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7AD8B4">
      <w:start w:val="1"/>
      <w:numFmt w:val="bullet"/>
      <w:lvlText w:val="▪"/>
      <w:lvlJc w:val="left"/>
      <w:pPr>
        <w:ind w:left="67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AC636F0"/>
    <w:multiLevelType w:val="hybridMultilevel"/>
    <w:tmpl w:val="923A23B6"/>
    <w:lvl w:ilvl="0" w:tplc="56B83504">
      <w:start w:val="1"/>
      <w:numFmt w:val="bullet"/>
      <w:lvlText w:val="•"/>
      <w:lvlJc w:val="left"/>
      <w:pPr>
        <w:ind w:left="1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1E90D0">
      <w:start w:val="1"/>
      <w:numFmt w:val="bullet"/>
      <w:lvlText w:val="o"/>
      <w:lvlJc w:val="left"/>
      <w:pPr>
        <w:ind w:left="17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2472C2">
      <w:start w:val="1"/>
      <w:numFmt w:val="bullet"/>
      <w:lvlText w:val="▪"/>
      <w:lvlJc w:val="left"/>
      <w:pPr>
        <w:ind w:left="24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B0EE0D6">
      <w:start w:val="1"/>
      <w:numFmt w:val="bullet"/>
      <w:lvlText w:val="•"/>
      <w:lvlJc w:val="left"/>
      <w:pPr>
        <w:ind w:left="3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44B986">
      <w:start w:val="1"/>
      <w:numFmt w:val="bullet"/>
      <w:lvlText w:val="o"/>
      <w:lvlJc w:val="left"/>
      <w:pPr>
        <w:ind w:left="38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88C4F20">
      <w:start w:val="1"/>
      <w:numFmt w:val="bullet"/>
      <w:lvlText w:val="▪"/>
      <w:lvlJc w:val="left"/>
      <w:pPr>
        <w:ind w:left="45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4CFB4E">
      <w:start w:val="1"/>
      <w:numFmt w:val="bullet"/>
      <w:lvlText w:val="•"/>
      <w:lvlJc w:val="left"/>
      <w:pPr>
        <w:ind w:left="53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347712">
      <w:start w:val="1"/>
      <w:numFmt w:val="bullet"/>
      <w:lvlText w:val="o"/>
      <w:lvlJc w:val="left"/>
      <w:pPr>
        <w:ind w:left="60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936568C">
      <w:start w:val="1"/>
      <w:numFmt w:val="bullet"/>
      <w:lvlText w:val="▪"/>
      <w:lvlJc w:val="left"/>
      <w:pPr>
        <w:ind w:left="67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C033522"/>
    <w:multiLevelType w:val="hybridMultilevel"/>
    <w:tmpl w:val="17E05262"/>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DDC1335"/>
    <w:multiLevelType w:val="hybridMultilevel"/>
    <w:tmpl w:val="19BCA2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2260FF4"/>
    <w:multiLevelType w:val="hybridMultilevel"/>
    <w:tmpl w:val="299CB0B2"/>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5F2523F"/>
    <w:multiLevelType w:val="hybridMultilevel"/>
    <w:tmpl w:val="48AA170A"/>
    <w:lvl w:ilvl="0" w:tplc="18090001">
      <w:start w:val="1"/>
      <w:numFmt w:val="bullet"/>
      <w:lvlText w:val=""/>
      <w:lvlJc w:val="left"/>
      <w:pPr>
        <w:ind w:left="357" w:hanging="360"/>
      </w:pPr>
      <w:rPr>
        <w:rFonts w:ascii="Symbol" w:hAnsi="Symbol" w:hint="default"/>
      </w:rPr>
    </w:lvl>
    <w:lvl w:ilvl="1" w:tplc="18090003" w:tentative="1">
      <w:start w:val="1"/>
      <w:numFmt w:val="bullet"/>
      <w:lvlText w:val="o"/>
      <w:lvlJc w:val="left"/>
      <w:pPr>
        <w:ind w:left="1077" w:hanging="360"/>
      </w:pPr>
      <w:rPr>
        <w:rFonts w:ascii="Courier New" w:hAnsi="Courier New" w:cs="Courier New" w:hint="default"/>
      </w:rPr>
    </w:lvl>
    <w:lvl w:ilvl="2" w:tplc="18090005" w:tentative="1">
      <w:start w:val="1"/>
      <w:numFmt w:val="bullet"/>
      <w:lvlText w:val=""/>
      <w:lvlJc w:val="left"/>
      <w:pPr>
        <w:ind w:left="1797" w:hanging="360"/>
      </w:pPr>
      <w:rPr>
        <w:rFonts w:ascii="Wingdings" w:hAnsi="Wingdings" w:hint="default"/>
      </w:rPr>
    </w:lvl>
    <w:lvl w:ilvl="3" w:tplc="18090001" w:tentative="1">
      <w:start w:val="1"/>
      <w:numFmt w:val="bullet"/>
      <w:lvlText w:val=""/>
      <w:lvlJc w:val="left"/>
      <w:pPr>
        <w:ind w:left="2517" w:hanging="360"/>
      </w:pPr>
      <w:rPr>
        <w:rFonts w:ascii="Symbol" w:hAnsi="Symbol" w:hint="default"/>
      </w:rPr>
    </w:lvl>
    <w:lvl w:ilvl="4" w:tplc="18090003" w:tentative="1">
      <w:start w:val="1"/>
      <w:numFmt w:val="bullet"/>
      <w:lvlText w:val="o"/>
      <w:lvlJc w:val="left"/>
      <w:pPr>
        <w:ind w:left="3237" w:hanging="360"/>
      </w:pPr>
      <w:rPr>
        <w:rFonts w:ascii="Courier New" w:hAnsi="Courier New" w:cs="Courier New" w:hint="default"/>
      </w:rPr>
    </w:lvl>
    <w:lvl w:ilvl="5" w:tplc="18090005" w:tentative="1">
      <w:start w:val="1"/>
      <w:numFmt w:val="bullet"/>
      <w:lvlText w:val=""/>
      <w:lvlJc w:val="left"/>
      <w:pPr>
        <w:ind w:left="3957" w:hanging="360"/>
      </w:pPr>
      <w:rPr>
        <w:rFonts w:ascii="Wingdings" w:hAnsi="Wingdings" w:hint="default"/>
      </w:rPr>
    </w:lvl>
    <w:lvl w:ilvl="6" w:tplc="18090001" w:tentative="1">
      <w:start w:val="1"/>
      <w:numFmt w:val="bullet"/>
      <w:lvlText w:val=""/>
      <w:lvlJc w:val="left"/>
      <w:pPr>
        <w:ind w:left="4677" w:hanging="360"/>
      </w:pPr>
      <w:rPr>
        <w:rFonts w:ascii="Symbol" w:hAnsi="Symbol" w:hint="default"/>
      </w:rPr>
    </w:lvl>
    <w:lvl w:ilvl="7" w:tplc="18090003" w:tentative="1">
      <w:start w:val="1"/>
      <w:numFmt w:val="bullet"/>
      <w:lvlText w:val="o"/>
      <w:lvlJc w:val="left"/>
      <w:pPr>
        <w:ind w:left="5397" w:hanging="360"/>
      </w:pPr>
      <w:rPr>
        <w:rFonts w:ascii="Courier New" w:hAnsi="Courier New" w:cs="Courier New" w:hint="default"/>
      </w:rPr>
    </w:lvl>
    <w:lvl w:ilvl="8" w:tplc="18090005" w:tentative="1">
      <w:start w:val="1"/>
      <w:numFmt w:val="bullet"/>
      <w:lvlText w:val=""/>
      <w:lvlJc w:val="left"/>
      <w:pPr>
        <w:ind w:left="6117" w:hanging="360"/>
      </w:pPr>
      <w:rPr>
        <w:rFonts w:ascii="Wingdings" w:hAnsi="Wingdings" w:hint="default"/>
      </w:rPr>
    </w:lvl>
  </w:abstractNum>
  <w:abstractNum w:abstractNumId="11" w15:restartNumberingAfterBreak="0">
    <w:nsid w:val="38166A5B"/>
    <w:multiLevelType w:val="hybridMultilevel"/>
    <w:tmpl w:val="E21E5AF6"/>
    <w:lvl w:ilvl="0" w:tplc="09E63538">
      <w:start w:val="1"/>
      <w:numFmt w:val="lowerLetter"/>
      <w:lvlText w:val="(%1)"/>
      <w:lvlJc w:val="left"/>
      <w:pPr>
        <w:ind w:left="1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340E10">
      <w:start w:val="1"/>
      <w:numFmt w:val="lowerLetter"/>
      <w:lvlText w:val="%2"/>
      <w:lvlJc w:val="left"/>
      <w:pPr>
        <w:ind w:left="17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B1AFA9C">
      <w:start w:val="1"/>
      <w:numFmt w:val="lowerRoman"/>
      <w:lvlText w:val="%3"/>
      <w:lvlJc w:val="left"/>
      <w:pPr>
        <w:ind w:left="24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1727C50">
      <w:start w:val="1"/>
      <w:numFmt w:val="decimal"/>
      <w:lvlText w:val="%4"/>
      <w:lvlJc w:val="left"/>
      <w:pPr>
        <w:ind w:left="3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12C6AE">
      <w:start w:val="1"/>
      <w:numFmt w:val="lowerLetter"/>
      <w:lvlText w:val="%5"/>
      <w:lvlJc w:val="left"/>
      <w:pPr>
        <w:ind w:left="38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2EEA248">
      <w:start w:val="1"/>
      <w:numFmt w:val="lowerRoman"/>
      <w:lvlText w:val="%6"/>
      <w:lvlJc w:val="left"/>
      <w:pPr>
        <w:ind w:left="45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2B28A16">
      <w:start w:val="1"/>
      <w:numFmt w:val="decimal"/>
      <w:lvlText w:val="%7"/>
      <w:lvlJc w:val="left"/>
      <w:pPr>
        <w:ind w:left="53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CECAA4">
      <w:start w:val="1"/>
      <w:numFmt w:val="lowerLetter"/>
      <w:lvlText w:val="%8"/>
      <w:lvlJc w:val="left"/>
      <w:pPr>
        <w:ind w:left="60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6B6129A">
      <w:start w:val="1"/>
      <w:numFmt w:val="lowerRoman"/>
      <w:lvlText w:val="%9"/>
      <w:lvlJc w:val="left"/>
      <w:pPr>
        <w:ind w:left="67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AC14CD5"/>
    <w:multiLevelType w:val="hybridMultilevel"/>
    <w:tmpl w:val="B7A004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E0B60CC"/>
    <w:multiLevelType w:val="hybridMultilevel"/>
    <w:tmpl w:val="94868024"/>
    <w:lvl w:ilvl="0" w:tplc="44EA29AC">
      <w:start w:val="1"/>
      <w:numFmt w:val="lowerLetter"/>
      <w:lvlText w:val="(%1)"/>
      <w:lvlJc w:val="left"/>
      <w:pPr>
        <w:ind w:left="1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A890E0">
      <w:start w:val="1"/>
      <w:numFmt w:val="lowerLetter"/>
      <w:lvlText w:val="%2"/>
      <w:lvlJc w:val="left"/>
      <w:pPr>
        <w:ind w:left="17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105774">
      <w:start w:val="1"/>
      <w:numFmt w:val="lowerRoman"/>
      <w:lvlText w:val="%3"/>
      <w:lvlJc w:val="left"/>
      <w:pPr>
        <w:ind w:left="24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1E8830">
      <w:start w:val="1"/>
      <w:numFmt w:val="decimal"/>
      <w:lvlText w:val="%4"/>
      <w:lvlJc w:val="left"/>
      <w:pPr>
        <w:ind w:left="3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684B7A">
      <w:start w:val="1"/>
      <w:numFmt w:val="lowerLetter"/>
      <w:lvlText w:val="%5"/>
      <w:lvlJc w:val="left"/>
      <w:pPr>
        <w:ind w:left="38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3586B6E">
      <w:start w:val="1"/>
      <w:numFmt w:val="lowerRoman"/>
      <w:lvlText w:val="%6"/>
      <w:lvlJc w:val="left"/>
      <w:pPr>
        <w:ind w:left="45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24EF208">
      <w:start w:val="1"/>
      <w:numFmt w:val="decimal"/>
      <w:lvlText w:val="%7"/>
      <w:lvlJc w:val="left"/>
      <w:pPr>
        <w:ind w:left="53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1E97FE">
      <w:start w:val="1"/>
      <w:numFmt w:val="lowerLetter"/>
      <w:lvlText w:val="%8"/>
      <w:lvlJc w:val="left"/>
      <w:pPr>
        <w:ind w:left="60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22218EC">
      <w:start w:val="1"/>
      <w:numFmt w:val="lowerRoman"/>
      <w:lvlText w:val="%9"/>
      <w:lvlJc w:val="left"/>
      <w:pPr>
        <w:ind w:left="67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FF732A9"/>
    <w:multiLevelType w:val="hybridMultilevel"/>
    <w:tmpl w:val="83FCE61E"/>
    <w:lvl w:ilvl="0" w:tplc="ACC811E6">
      <w:start w:val="1"/>
      <w:numFmt w:val="bullet"/>
      <w:lvlText w:val="•"/>
      <w:lvlJc w:val="left"/>
      <w:pPr>
        <w:ind w:left="1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888436">
      <w:start w:val="1"/>
      <w:numFmt w:val="bullet"/>
      <w:lvlText w:val="o"/>
      <w:lvlJc w:val="left"/>
      <w:pPr>
        <w:ind w:left="17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9B078D6">
      <w:start w:val="1"/>
      <w:numFmt w:val="bullet"/>
      <w:lvlText w:val="▪"/>
      <w:lvlJc w:val="left"/>
      <w:pPr>
        <w:ind w:left="24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BAA1CF8">
      <w:start w:val="1"/>
      <w:numFmt w:val="bullet"/>
      <w:lvlText w:val="•"/>
      <w:lvlJc w:val="left"/>
      <w:pPr>
        <w:ind w:left="3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F4E80E">
      <w:start w:val="1"/>
      <w:numFmt w:val="bullet"/>
      <w:lvlText w:val="o"/>
      <w:lvlJc w:val="left"/>
      <w:pPr>
        <w:ind w:left="38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5A3986">
      <w:start w:val="1"/>
      <w:numFmt w:val="bullet"/>
      <w:lvlText w:val="▪"/>
      <w:lvlJc w:val="left"/>
      <w:pPr>
        <w:ind w:left="45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B587110">
      <w:start w:val="1"/>
      <w:numFmt w:val="bullet"/>
      <w:lvlText w:val="•"/>
      <w:lvlJc w:val="left"/>
      <w:pPr>
        <w:ind w:left="53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0E81B6">
      <w:start w:val="1"/>
      <w:numFmt w:val="bullet"/>
      <w:lvlText w:val="o"/>
      <w:lvlJc w:val="left"/>
      <w:pPr>
        <w:ind w:left="60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48046A">
      <w:start w:val="1"/>
      <w:numFmt w:val="bullet"/>
      <w:lvlText w:val="▪"/>
      <w:lvlJc w:val="left"/>
      <w:pPr>
        <w:ind w:left="67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0C34004"/>
    <w:multiLevelType w:val="hybridMultilevel"/>
    <w:tmpl w:val="374A8BC8"/>
    <w:lvl w:ilvl="0" w:tplc="DCE83252">
      <w:start w:val="1"/>
      <w:numFmt w:val="bullet"/>
      <w:lvlText w:val="•"/>
      <w:lvlJc w:val="left"/>
      <w:pPr>
        <w:ind w:left="1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D2F504">
      <w:start w:val="1"/>
      <w:numFmt w:val="bullet"/>
      <w:lvlText w:val="o"/>
      <w:lvlJc w:val="left"/>
      <w:pPr>
        <w:ind w:left="17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4521E02">
      <w:start w:val="1"/>
      <w:numFmt w:val="bullet"/>
      <w:lvlText w:val="▪"/>
      <w:lvlJc w:val="left"/>
      <w:pPr>
        <w:ind w:left="24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9D05736">
      <w:start w:val="1"/>
      <w:numFmt w:val="bullet"/>
      <w:lvlText w:val="•"/>
      <w:lvlJc w:val="left"/>
      <w:pPr>
        <w:ind w:left="3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083154">
      <w:start w:val="1"/>
      <w:numFmt w:val="bullet"/>
      <w:lvlText w:val="o"/>
      <w:lvlJc w:val="left"/>
      <w:pPr>
        <w:ind w:left="38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8E43E32">
      <w:start w:val="1"/>
      <w:numFmt w:val="bullet"/>
      <w:lvlText w:val="▪"/>
      <w:lvlJc w:val="left"/>
      <w:pPr>
        <w:ind w:left="45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6F09A9C">
      <w:start w:val="1"/>
      <w:numFmt w:val="bullet"/>
      <w:lvlText w:val="•"/>
      <w:lvlJc w:val="left"/>
      <w:pPr>
        <w:ind w:left="53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4A4070">
      <w:start w:val="1"/>
      <w:numFmt w:val="bullet"/>
      <w:lvlText w:val="o"/>
      <w:lvlJc w:val="left"/>
      <w:pPr>
        <w:ind w:left="60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6BE30E4">
      <w:start w:val="1"/>
      <w:numFmt w:val="bullet"/>
      <w:lvlText w:val="▪"/>
      <w:lvlJc w:val="left"/>
      <w:pPr>
        <w:ind w:left="67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0D32DB7"/>
    <w:multiLevelType w:val="hybridMultilevel"/>
    <w:tmpl w:val="00A8974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41AD40F3"/>
    <w:multiLevelType w:val="hybridMultilevel"/>
    <w:tmpl w:val="BB52ED22"/>
    <w:lvl w:ilvl="0" w:tplc="E7CC2F48">
      <w:start w:val="1"/>
      <w:numFmt w:val="bullet"/>
      <w:lvlText w:val="•"/>
      <w:lvlJc w:val="left"/>
      <w:pPr>
        <w:ind w:left="1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7AD760">
      <w:start w:val="1"/>
      <w:numFmt w:val="bullet"/>
      <w:lvlText w:val="o"/>
      <w:lvlJc w:val="left"/>
      <w:pPr>
        <w:ind w:left="17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E90EE9C">
      <w:start w:val="1"/>
      <w:numFmt w:val="bullet"/>
      <w:lvlText w:val="▪"/>
      <w:lvlJc w:val="left"/>
      <w:pPr>
        <w:ind w:left="24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FF2A792">
      <w:start w:val="1"/>
      <w:numFmt w:val="bullet"/>
      <w:lvlText w:val="•"/>
      <w:lvlJc w:val="left"/>
      <w:pPr>
        <w:ind w:left="3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E81566">
      <w:start w:val="1"/>
      <w:numFmt w:val="bullet"/>
      <w:lvlText w:val="o"/>
      <w:lvlJc w:val="left"/>
      <w:pPr>
        <w:ind w:left="38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2C21E04">
      <w:start w:val="1"/>
      <w:numFmt w:val="bullet"/>
      <w:lvlText w:val="▪"/>
      <w:lvlJc w:val="left"/>
      <w:pPr>
        <w:ind w:left="45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EF2F428">
      <w:start w:val="1"/>
      <w:numFmt w:val="bullet"/>
      <w:lvlText w:val="•"/>
      <w:lvlJc w:val="left"/>
      <w:pPr>
        <w:ind w:left="53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B8CEC0">
      <w:start w:val="1"/>
      <w:numFmt w:val="bullet"/>
      <w:lvlText w:val="o"/>
      <w:lvlJc w:val="left"/>
      <w:pPr>
        <w:ind w:left="60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246D29E">
      <w:start w:val="1"/>
      <w:numFmt w:val="bullet"/>
      <w:lvlText w:val="▪"/>
      <w:lvlJc w:val="left"/>
      <w:pPr>
        <w:ind w:left="67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1AF09F1"/>
    <w:multiLevelType w:val="hybridMultilevel"/>
    <w:tmpl w:val="3D02E080"/>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35137A4"/>
    <w:multiLevelType w:val="hybridMultilevel"/>
    <w:tmpl w:val="809E8CBA"/>
    <w:lvl w:ilvl="0" w:tplc="25F6B334">
      <w:start w:val="1"/>
      <w:numFmt w:val="bullet"/>
      <w:lvlText w:val="•"/>
      <w:lvlJc w:val="left"/>
      <w:pPr>
        <w:ind w:left="1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8AA10E">
      <w:start w:val="1"/>
      <w:numFmt w:val="bullet"/>
      <w:lvlText w:val="o"/>
      <w:lvlJc w:val="left"/>
      <w:pPr>
        <w:ind w:left="17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0709654">
      <w:start w:val="1"/>
      <w:numFmt w:val="bullet"/>
      <w:lvlText w:val="▪"/>
      <w:lvlJc w:val="left"/>
      <w:pPr>
        <w:ind w:left="24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74EF158">
      <w:start w:val="1"/>
      <w:numFmt w:val="bullet"/>
      <w:lvlText w:val="•"/>
      <w:lvlJc w:val="left"/>
      <w:pPr>
        <w:ind w:left="3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50F970">
      <w:start w:val="1"/>
      <w:numFmt w:val="bullet"/>
      <w:lvlText w:val="o"/>
      <w:lvlJc w:val="left"/>
      <w:pPr>
        <w:ind w:left="38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C8C3B3E">
      <w:start w:val="1"/>
      <w:numFmt w:val="bullet"/>
      <w:lvlText w:val="▪"/>
      <w:lvlJc w:val="left"/>
      <w:pPr>
        <w:ind w:left="45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A88F1AA">
      <w:start w:val="1"/>
      <w:numFmt w:val="bullet"/>
      <w:lvlText w:val="•"/>
      <w:lvlJc w:val="left"/>
      <w:pPr>
        <w:ind w:left="53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8AAA04">
      <w:start w:val="1"/>
      <w:numFmt w:val="bullet"/>
      <w:lvlText w:val="o"/>
      <w:lvlJc w:val="left"/>
      <w:pPr>
        <w:ind w:left="60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D29C4C">
      <w:start w:val="1"/>
      <w:numFmt w:val="bullet"/>
      <w:lvlText w:val="▪"/>
      <w:lvlJc w:val="left"/>
      <w:pPr>
        <w:ind w:left="67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16A145F"/>
    <w:multiLevelType w:val="hybridMultilevel"/>
    <w:tmpl w:val="7C58ABBE"/>
    <w:lvl w:ilvl="0" w:tplc="3760B652">
      <w:start w:val="1"/>
      <w:numFmt w:val="bullet"/>
      <w:lvlText w:val="•"/>
      <w:lvlJc w:val="left"/>
      <w:pPr>
        <w:ind w:left="1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F24E98">
      <w:start w:val="1"/>
      <w:numFmt w:val="bullet"/>
      <w:lvlText w:val="o"/>
      <w:lvlJc w:val="left"/>
      <w:pPr>
        <w:ind w:left="17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680104E">
      <w:start w:val="1"/>
      <w:numFmt w:val="bullet"/>
      <w:lvlText w:val="▪"/>
      <w:lvlJc w:val="left"/>
      <w:pPr>
        <w:ind w:left="24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A2C5558">
      <w:start w:val="1"/>
      <w:numFmt w:val="bullet"/>
      <w:lvlText w:val="•"/>
      <w:lvlJc w:val="left"/>
      <w:pPr>
        <w:ind w:left="3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D6D860">
      <w:start w:val="1"/>
      <w:numFmt w:val="bullet"/>
      <w:lvlText w:val="o"/>
      <w:lvlJc w:val="left"/>
      <w:pPr>
        <w:ind w:left="38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DC1C48">
      <w:start w:val="1"/>
      <w:numFmt w:val="bullet"/>
      <w:lvlText w:val="▪"/>
      <w:lvlJc w:val="left"/>
      <w:pPr>
        <w:ind w:left="45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B52AAA4">
      <w:start w:val="1"/>
      <w:numFmt w:val="bullet"/>
      <w:lvlText w:val="•"/>
      <w:lvlJc w:val="left"/>
      <w:pPr>
        <w:ind w:left="53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8E6C78">
      <w:start w:val="1"/>
      <w:numFmt w:val="bullet"/>
      <w:lvlText w:val="o"/>
      <w:lvlJc w:val="left"/>
      <w:pPr>
        <w:ind w:left="60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1DC7D9E">
      <w:start w:val="1"/>
      <w:numFmt w:val="bullet"/>
      <w:lvlText w:val="▪"/>
      <w:lvlJc w:val="left"/>
      <w:pPr>
        <w:ind w:left="67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2500D2A"/>
    <w:multiLevelType w:val="hybridMultilevel"/>
    <w:tmpl w:val="675A6A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2F95D09"/>
    <w:multiLevelType w:val="hybridMultilevel"/>
    <w:tmpl w:val="0A1071DC"/>
    <w:lvl w:ilvl="0" w:tplc="F01AB7E0">
      <w:start w:val="1"/>
      <w:numFmt w:val="bullet"/>
      <w:lvlText w:val="•"/>
      <w:lvlJc w:val="left"/>
      <w:pPr>
        <w:ind w:left="1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090003">
      <w:start w:val="1"/>
      <w:numFmt w:val="bullet"/>
      <w:lvlText w:val="o"/>
      <w:lvlJc w:val="left"/>
      <w:pPr>
        <w:ind w:left="2062" w:hanging="360"/>
      </w:pPr>
      <w:rPr>
        <w:rFonts w:ascii="Courier New" w:hAnsi="Courier New" w:cs="Courier New" w:hint="default"/>
      </w:rPr>
    </w:lvl>
    <w:lvl w:ilvl="2" w:tplc="3C923702">
      <w:start w:val="1"/>
      <w:numFmt w:val="bullet"/>
      <w:lvlText w:val="▪"/>
      <w:lvlJc w:val="left"/>
      <w:pPr>
        <w:ind w:left="24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900B6C4">
      <w:start w:val="1"/>
      <w:numFmt w:val="bullet"/>
      <w:lvlText w:val="•"/>
      <w:lvlJc w:val="left"/>
      <w:pPr>
        <w:ind w:left="31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DC0F218">
      <w:start w:val="1"/>
      <w:numFmt w:val="bullet"/>
      <w:lvlText w:val="o"/>
      <w:lvlJc w:val="left"/>
      <w:pPr>
        <w:ind w:left="38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67C2274">
      <w:start w:val="1"/>
      <w:numFmt w:val="bullet"/>
      <w:lvlText w:val="▪"/>
      <w:lvlJc w:val="left"/>
      <w:pPr>
        <w:ind w:left="45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A4AB792">
      <w:start w:val="1"/>
      <w:numFmt w:val="bullet"/>
      <w:lvlText w:val="•"/>
      <w:lvlJc w:val="left"/>
      <w:pPr>
        <w:ind w:left="53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506E24E">
      <w:start w:val="1"/>
      <w:numFmt w:val="bullet"/>
      <w:lvlText w:val="o"/>
      <w:lvlJc w:val="left"/>
      <w:pPr>
        <w:ind w:left="60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AFE2EC2">
      <w:start w:val="1"/>
      <w:numFmt w:val="bullet"/>
      <w:lvlText w:val="▪"/>
      <w:lvlJc w:val="left"/>
      <w:pPr>
        <w:ind w:left="67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3105350"/>
    <w:multiLevelType w:val="hybridMultilevel"/>
    <w:tmpl w:val="DFA0B902"/>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8A62E86"/>
    <w:multiLevelType w:val="hybridMultilevel"/>
    <w:tmpl w:val="21DA193E"/>
    <w:lvl w:ilvl="0" w:tplc="C414D74E">
      <w:start w:val="1"/>
      <w:numFmt w:val="bullet"/>
      <w:lvlText w:val="•"/>
      <w:lvlJc w:val="left"/>
      <w:pPr>
        <w:ind w:left="1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3EF706">
      <w:start w:val="1"/>
      <w:numFmt w:val="bullet"/>
      <w:lvlText w:val="o"/>
      <w:lvlJc w:val="left"/>
      <w:pPr>
        <w:ind w:left="17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E34E3DA">
      <w:start w:val="1"/>
      <w:numFmt w:val="bullet"/>
      <w:lvlText w:val="▪"/>
      <w:lvlJc w:val="left"/>
      <w:pPr>
        <w:ind w:left="24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2CAFBAE">
      <w:start w:val="1"/>
      <w:numFmt w:val="bullet"/>
      <w:lvlText w:val="•"/>
      <w:lvlJc w:val="left"/>
      <w:pPr>
        <w:ind w:left="3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4A6AB4">
      <w:start w:val="1"/>
      <w:numFmt w:val="bullet"/>
      <w:lvlText w:val="o"/>
      <w:lvlJc w:val="left"/>
      <w:pPr>
        <w:ind w:left="38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F3A4F68">
      <w:start w:val="1"/>
      <w:numFmt w:val="bullet"/>
      <w:lvlText w:val="▪"/>
      <w:lvlJc w:val="left"/>
      <w:pPr>
        <w:ind w:left="45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0C6E014">
      <w:start w:val="1"/>
      <w:numFmt w:val="bullet"/>
      <w:lvlText w:val="•"/>
      <w:lvlJc w:val="left"/>
      <w:pPr>
        <w:ind w:left="53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506E78">
      <w:start w:val="1"/>
      <w:numFmt w:val="bullet"/>
      <w:lvlText w:val="o"/>
      <w:lvlJc w:val="left"/>
      <w:pPr>
        <w:ind w:left="60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3A2C7E">
      <w:start w:val="1"/>
      <w:numFmt w:val="bullet"/>
      <w:lvlText w:val="▪"/>
      <w:lvlJc w:val="left"/>
      <w:pPr>
        <w:ind w:left="67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0346947"/>
    <w:multiLevelType w:val="hybridMultilevel"/>
    <w:tmpl w:val="31D05E5E"/>
    <w:lvl w:ilvl="0" w:tplc="BE86C184">
      <w:start w:val="1"/>
      <w:numFmt w:val="bullet"/>
      <w:lvlText w:val="•"/>
      <w:lvlJc w:val="left"/>
      <w:pPr>
        <w:ind w:left="1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8246AE">
      <w:start w:val="1"/>
      <w:numFmt w:val="bullet"/>
      <w:lvlText w:val="o"/>
      <w:lvlJc w:val="left"/>
      <w:pPr>
        <w:ind w:left="17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938FC5A">
      <w:start w:val="1"/>
      <w:numFmt w:val="bullet"/>
      <w:lvlText w:val="▪"/>
      <w:lvlJc w:val="left"/>
      <w:pPr>
        <w:ind w:left="24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E41510">
      <w:start w:val="1"/>
      <w:numFmt w:val="bullet"/>
      <w:lvlText w:val="•"/>
      <w:lvlJc w:val="left"/>
      <w:pPr>
        <w:ind w:left="3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56E0BE">
      <w:start w:val="1"/>
      <w:numFmt w:val="bullet"/>
      <w:lvlText w:val="o"/>
      <w:lvlJc w:val="left"/>
      <w:pPr>
        <w:ind w:left="38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B1A49F2">
      <w:start w:val="1"/>
      <w:numFmt w:val="bullet"/>
      <w:lvlText w:val="▪"/>
      <w:lvlJc w:val="left"/>
      <w:pPr>
        <w:ind w:left="45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9E46162">
      <w:start w:val="1"/>
      <w:numFmt w:val="bullet"/>
      <w:lvlText w:val="•"/>
      <w:lvlJc w:val="left"/>
      <w:pPr>
        <w:ind w:left="53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E02C5C">
      <w:start w:val="1"/>
      <w:numFmt w:val="bullet"/>
      <w:lvlText w:val="o"/>
      <w:lvlJc w:val="left"/>
      <w:pPr>
        <w:ind w:left="60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CF84B94">
      <w:start w:val="1"/>
      <w:numFmt w:val="bullet"/>
      <w:lvlText w:val="▪"/>
      <w:lvlJc w:val="left"/>
      <w:pPr>
        <w:ind w:left="67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2577168"/>
    <w:multiLevelType w:val="hybridMultilevel"/>
    <w:tmpl w:val="D80AA300"/>
    <w:lvl w:ilvl="0" w:tplc="BE26557C">
      <w:start w:val="1"/>
      <w:numFmt w:val="lowerLetter"/>
      <w:lvlText w:val="(%1)"/>
      <w:lvlJc w:val="left"/>
      <w:pPr>
        <w:ind w:left="1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426FCE">
      <w:start w:val="1"/>
      <w:numFmt w:val="lowerLetter"/>
      <w:lvlText w:val="%2"/>
      <w:lvlJc w:val="left"/>
      <w:pPr>
        <w:ind w:left="17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BB8377C">
      <w:start w:val="1"/>
      <w:numFmt w:val="lowerRoman"/>
      <w:lvlText w:val="%3"/>
      <w:lvlJc w:val="left"/>
      <w:pPr>
        <w:ind w:left="24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344167C">
      <w:start w:val="1"/>
      <w:numFmt w:val="decimal"/>
      <w:lvlText w:val="%4"/>
      <w:lvlJc w:val="left"/>
      <w:pPr>
        <w:ind w:left="3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0CD63E">
      <w:start w:val="1"/>
      <w:numFmt w:val="lowerLetter"/>
      <w:lvlText w:val="%5"/>
      <w:lvlJc w:val="left"/>
      <w:pPr>
        <w:ind w:left="38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8E0269A">
      <w:start w:val="1"/>
      <w:numFmt w:val="lowerRoman"/>
      <w:lvlText w:val="%6"/>
      <w:lvlJc w:val="left"/>
      <w:pPr>
        <w:ind w:left="45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A8C34D2">
      <w:start w:val="1"/>
      <w:numFmt w:val="decimal"/>
      <w:lvlText w:val="%7"/>
      <w:lvlJc w:val="left"/>
      <w:pPr>
        <w:ind w:left="53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2093D0">
      <w:start w:val="1"/>
      <w:numFmt w:val="lowerLetter"/>
      <w:lvlText w:val="%8"/>
      <w:lvlJc w:val="left"/>
      <w:pPr>
        <w:ind w:left="60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018EFCE">
      <w:start w:val="1"/>
      <w:numFmt w:val="lowerRoman"/>
      <w:lvlText w:val="%9"/>
      <w:lvlJc w:val="left"/>
      <w:pPr>
        <w:ind w:left="67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3D646DA"/>
    <w:multiLevelType w:val="hybridMultilevel"/>
    <w:tmpl w:val="D04A4D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6B87763"/>
    <w:multiLevelType w:val="hybridMultilevel"/>
    <w:tmpl w:val="C82E27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79221D4"/>
    <w:multiLevelType w:val="hybridMultilevel"/>
    <w:tmpl w:val="F878ACF4"/>
    <w:lvl w:ilvl="0" w:tplc="C2560DE8">
      <w:start w:val="1"/>
      <w:numFmt w:val="bullet"/>
      <w:lvlText w:val="•"/>
      <w:lvlJc w:val="left"/>
      <w:pPr>
        <w:ind w:left="1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14FC9E">
      <w:start w:val="1"/>
      <w:numFmt w:val="bullet"/>
      <w:lvlText w:val="o"/>
      <w:lvlJc w:val="left"/>
      <w:pPr>
        <w:ind w:left="17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AFA2614">
      <w:start w:val="1"/>
      <w:numFmt w:val="bullet"/>
      <w:lvlText w:val="▪"/>
      <w:lvlJc w:val="left"/>
      <w:pPr>
        <w:ind w:left="24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9CBBFA">
      <w:start w:val="1"/>
      <w:numFmt w:val="bullet"/>
      <w:lvlText w:val="•"/>
      <w:lvlJc w:val="left"/>
      <w:pPr>
        <w:ind w:left="3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56D002">
      <w:start w:val="1"/>
      <w:numFmt w:val="bullet"/>
      <w:lvlText w:val="o"/>
      <w:lvlJc w:val="left"/>
      <w:pPr>
        <w:ind w:left="38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5BEDE1A">
      <w:start w:val="1"/>
      <w:numFmt w:val="bullet"/>
      <w:lvlText w:val="▪"/>
      <w:lvlJc w:val="left"/>
      <w:pPr>
        <w:ind w:left="45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E480C0A">
      <w:start w:val="1"/>
      <w:numFmt w:val="bullet"/>
      <w:lvlText w:val="•"/>
      <w:lvlJc w:val="left"/>
      <w:pPr>
        <w:ind w:left="53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2A9922">
      <w:start w:val="1"/>
      <w:numFmt w:val="bullet"/>
      <w:lvlText w:val="o"/>
      <w:lvlJc w:val="left"/>
      <w:pPr>
        <w:ind w:left="60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BEC003C">
      <w:start w:val="1"/>
      <w:numFmt w:val="bullet"/>
      <w:lvlText w:val="▪"/>
      <w:lvlJc w:val="left"/>
      <w:pPr>
        <w:ind w:left="67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1220130"/>
    <w:multiLevelType w:val="hybridMultilevel"/>
    <w:tmpl w:val="73388838"/>
    <w:lvl w:ilvl="0" w:tplc="3C2A8CE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6DE6743"/>
    <w:multiLevelType w:val="hybridMultilevel"/>
    <w:tmpl w:val="65F621CE"/>
    <w:lvl w:ilvl="0" w:tplc="64604686">
      <w:start w:val="1"/>
      <w:numFmt w:val="lowerLetter"/>
      <w:lvlText w:val="(%1)"/>
      <w:lvlJc w:val="left"/>
      <w:pPr>
        <w:ind w:left="1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80B3E8">
      <w:start w:val="1"/>
      <w:numFmt w:val="lowerLetter"/>
      <w:lvlText w:val="%2"/>
      <w:lvlJc w:val="left"/>
      <w:pPr>
        <w:ind w:left="17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F28F7E">
      <w:start w:val="1"/>
      <w:numFmt w:val="lowerRoman"/>
      <w:lvlText w:val="%3"/>
      <w:lvlJc w:val="left"/>
      <w:pPr>
        <w:ind w:left="24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3ED5D2">
      <w:start w:val="1"/>
      <w:numFmt w:val="decimal"/>
      <w:lvlText w:val="%4"/>
      <w:lvlJc w:val="left"/>
      <w:pPr>
        <w:ind w:left="3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D6E20A">
      <w:start w:val="1"/>
      <w:numFmt w:val="lowerLetter"/>
      <w:lvlText w:val="%5"/>
      <w:lvlJc w:val="left"/>
      <w:pPr>
        <w:ind w:left="38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74A4C96">
      <w:start w:val="1"/>
      <w:numFmt w:val="lowerRoman"/>
      <w:lvlText w:val="%6"/>
      <w:lvlJc w:val="left"/>
      <w:pPr>
        <w:ind w:left="45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E5C2E62">
      <w:start w:val="1"/>
      <w:numFmt w:val="decimal"/>
      <w:lvlText w:val="%7"/>
      <w:lvlJc w:val="left"/>
      <w:pPr>
        <w:ind w:left="53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DAA59E">
      <w:start w:val="1"/>
      <w:numFmt w:val="lowerLetter"/>
      <w:lvlText w:val="%8"/>
      <w:lvlJc w:val="left"/>
      <w:pPr>
        <w:ind w:left="60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96A502A">
      <w:start w:val="1"/>
      <w:numFmt w:val="lowerRoman"/>
      <w:lvlText w:val="%9"/>
      <w:lvlJc w:val="left"/>
      <w:pPr>
        <w:ind w:left="67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904622B"/>
    <w:multiLevelType w:val="hybridMultilevel"/>
    <w:tmpl w:val="B5561C5A"/>
    <w:lvl w:ilvl="0" w:tplc="FDCE7920">
      <w:start w:val="1"/>
      <w:numFmt w:val="lowerLetter"/>
      <w:lvlText w:val="(%1)"/>
      <w:lvlJc w:val="left"/>
      <w:pPr>
        <w:ind w:left="1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5CC70A">
      <w:start w:val="1"/>
      <w:numFmt w:val="lowerLetter"/>
      <w:lvlText w:val="%2"/>
      <w:lvlJc w:val="left"/>
      <w:pPr>
        <w:ind w:left="17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3BEDE34">
      <w:start w:val="1"/>
      <w:numFmt w:val="lowerRoman"/>
      <w:lvlText w:val="%3"/>
      <w:lvlJc w:val="left"/>
      <w:pPr>
        <w:ind w:left="24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C8FF18">
      <w:start w:val="1"/>
      <w:numFmt w:val="decimal"/>
      <w:lvlText w:val="%4"/>
      <w:lvlJc w:val="left"/>
      <w:pPr>
        <w:ind w:left="3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4254DA">
      <w:start w:val="1"/>
      <w:numFmt w:val="lowerLetter"/>
      <w:lvlText w:val="%5"/>
      <w:lvlJc w:val="left"/>
      <w:pPr>
        <w:ind w:left="38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C024FB0">
      <w:start w:val="1"/>
      <w:numFmt w:val="lowerRoman"/>
      <w:lvlText w:val="%6"/>
      <w:lvlJc w:val="left"/>
      <w:pPr>
        <w:ind w:left="45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732FBB8">
      <w:start w:val="1"/>
      <w:numFmt w:val="decimal"/>
      <w:lvlText w:val="%7"/>
      <w:lvlJc w:val="left"/>
      <w:pPr>
        <w:ind w:left="53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72CBC2">
      <w:start w:val="1"/>
      <w:numFmt w:val="lowerLetter"/>
      <w:lvlText w:val="%8"/>
      <w:lvlJc w:val="left"/>
      <w:pPr>
        <w:ind w:left="60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11277C0">
      <w:start w:val="1"/>
      <w:numFmt w:val="lowerRoman"/>
      <w:lvlText w:val="%9"/>
      <w:lvlJc w:val="left"/>
      <w:pPr>
        <w:ind w:left="67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AA155FF"/>
    <w:multiLevelType w:val="hybridMultilevel"/>
    <w:tmpl w:val="AEB003CC"/>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4" w15:restartNumberingAfterBreak="0">
    <w:nsid w:val="7B6F2D11"/>
    <w:multiLevelType w:val="hybridMultilevel"/>
    <w:tmpl w:val="36A4B906"/>
    <w:lvl w:ilvl="0" w:tplc="B36E033A">
      <w:start w:val="1"/>
      <w:numFmt w:val="bullet"/>
      <w:lvlText w:val="•"/>
      <w:lvlJc w:val="left"/>
      <w:pPr>
        <w:ind w:left="1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585C86">
      <w:start w:val="1"/>
      <w:numFmt w:val="bullet"/>
      <w:lvlText w:val="o"/>
      <w:lvlJc w:val="left"/>
      <w:pPr>
        <w:ind w:left="17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D4AF448">
      <w:start w:val="1"/>
      <w:numFmt w:val="bullet"/>
      <w:lvlText w:val="▪"/>
      <w:lvlJc w:val="left"/>
      <w:pPr>
        <w:ind w:left="24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C38B44E">
      <w:start w:val="1"/>
      <w:numFmt w:val="bullet"/>
      <w:lvlText w:val="•"/>
      <w:lvlJc w:val="left"/>
      <w:pPr>
        <w:ind w:left="3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C62DFA">
      <w:start w:val="1"/>
      <w:numFmt w:val="bullet"/>
      <w:lvlText w:val="o"/>
      <w:lvlJc w:val="left"/>
      <w:pPr>
        <w:ind w:left="38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C108B14">
      <w:start w:val="1"/>
      <w:numFmt w:val="bullet"/>
      <w:lvlText w:val="▪"/>
      <w:lvlJc w:val="left"/>
      <w:pPr>
        <w:ind w:left="45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E72AEBA">
      <w:start w:val="1"/>
      <w:numFmt w:val="bullet"/>
      <w:lvlText w:val="•"/>
      <w:lvlJc w:val="left"/>
      <w:pPr>
        <w:ind w:left="53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106840">
      <w:start w:val="1"/>
      <w:numFmt w:val="bullet"/>
      <w:lvlText w:val="o"/>
      <w:lvlJc w:val="left"/>
      <w:pPr>
        <w:ind w:left="60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55A395C">
      <w:start w:val="1"/>
      <w:numFmt w:val="bullet"/>
      <w:lvlText w:val="▪"/>
      <w:lvlJc w:val="left"/>
      <w:pPr>
        <w:ind w:left="67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77408675">
    <w:abstractNumId w:val="6"/>
  </w:num>
  <w:num w:numId="2" w16cid:durableId="594560167">
    <w:abstractNumId w:val="25"/>
  </w:num>
  <w:num w:numId="3" w16cid:durableId="189884037">
    <w:abstractNumId w:val="24"/>
  </w:num>
  <w:num w:numId="4" w16cid:durableId="271941384">
    <w:abstractNumId w:val="2"/>
  </w:num>
  <w:num w:numId="5" w16cid:durableId="444812132">
    <w:abstractNumId w:val="0"/>
  </w:num>
  <w:num w:numId="6" w16cid:durableId="858860538">
    <w:abstractNumId w:val="29"/>
  </w:num>
  <w:num w:numId="7" w16cid:durableId="2046247101">
    <w:abstractNumId w:val="31"/>
  </w:num>
  <w:num w:numId="8" w16cid:durableId="1217278818">
    <w:abstractNumId w:val="26"/>
  </w:num>
  <w:num w:numId="9" w16cid:durableId="399521547">
    <w:abstractNumId w:val="17"/>
  </w:num>
  <w:num w:numId="10" w16cid:durableId="2021544999">
    <w:abstractNumId w:val="14"/>
  </w:num>
  <w:num w:numId="11" w16cid:durableId="1586303069">
    <w:abstractNumId w:val="5"/>
  </w:num>
  <w:num w:numId="12" w16cid:durableId="731389006">
    <w:abstractNumId w:val="19"/>
  </w:num>
  <w:num w:numId="13" w16cid:durableId="1716927911">
    <w:abstractNumId w:val="34"/>
  </w:num>
  <w:num w:numId="14" w16cid:durableId="1060130379">
    <w:abstractNumId w:val="32"/>
  </w:num>
  <w:num w:numId="15" w16cid:durableId="490222952">
    <w:abstractNumId w:val="22"/>
  </w:num>
  <w:num w:numId="16" w16cid:durableId="1089958909">
    <w:abstractNumId w:val="1"/>
  </w:num>
  <w:num w:numId="17" w16cid:durableId="1000233633">
    <w:abstractNumId w:val="13"/>
  </w:num>
  <w:num w:numId="18" w16cid:durableId="1884630741">
    <w:abstractNumId w:val="11"/>
  </w:num>
  <w:num w:numId="19" w16cid:durableId="829249091">
    <w:abstractNumId w:val="20"/>
  </w:num>
  <w:num w:numId="20" w16cid:durableId="645745387">
    <w:abstractNumId w:val="15"/>
  </w:num>
  <w:num w:numId="21" w16cid:durableId="1601838995">
    <w:abstractNumId w:val="10"/>
  </w:num>
  <w:num w:numId="22" w16cid:durableId="1274938463">
    <w:abstractNumId w:val="21"/>
  </w:num>
  <w:num w:numId="23" w16cid:durableId="1785688010">
    <w:abstractNumId w:val="27"/>
  </w:num>
  <w:num w:numId="24" w16cid:durableId="937953845">
    <w:abstractNumId w:val="16"/>
  </w:num>
  <w:num w:numId="25" w16cid:durableId="953440159">
    <w:abstractNumId w:val="18"/>
  </w:num>
  <w:num w:numId="26" w16cid:durableId="605579357">
    <w:abstractNumId w:val="9"/>
  </w:num>
  <w:num w:numId="27" w16cid:durableId="384332126">
    <w:abstractNumId w:val="33"/>
  </w:num>
  <w:num w:numId="28" w16cid:durableId="565190815">
    <w:abstractNumId w:val="7"/>
  </w:num>
  <w:num w:numId="29" w16cid:durableId="2007635384">
    <w:abstractNumId w:val="23"/>
  </w:num>
  <w:num w:numId="30" w16cid:durableId="1959019597">
    <w:abstractNumId w:val="3"/>
  </w:num>
  <w:num w:numId="31" w16cid:durableId="2015640803">
    <w:abstractNumId w:val="4"/>
  </w:num>
  <w:num w:numId="32" w16cid:durableId="830028112">
    <w:abstractNumId w:val="30"/>
  </w:num>
  <w:num w:numId="33" w16cid:durableId="795562567">
    <w:abstractNumId w:val="12"/>
  </w:num>
  <w:num w:numId="34" w16cid:durableId="475151332">
    <w:abstractNumId w:val="28"/>
  </w:num>
  <w:num w:numId="35" w16cid:durableId="10242902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481"/>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8EF"/>
    <w:rsid w:val="00074792"/>
    <w:rsid w:val="00097954"/>
    <w:rsid w:val="000D0D42"/>
    <w:rsid w:val="00285CDE"/>
    <w:rsid w:val="002A61A9"/>
    <w:rsid w:val="003D7B96"/>
    <w:rsid w:val="00447845"/>
    <w:rsid w:val="004830B8"/>
    <w:rsid w:val="00584543"/>
    <w:rsid w:val="005F3FD3"/>
    <w:rsid w:val="006868EF"/>
    <w:rsid w:val="00695AAA"/>
    <w:rsid w:val="006E448A"/>
    <w:rsid w:val="007845E4"/>
    <w:rsid w:val="008566F4"/>
    <w:rsid w:val="008B3939"/>
    <w:rsid w:val="008D1CAF"/>
    <w:rsid w:val="00A168BD"/>
    <w:rsid w:val="00A23D47"/>
    <w:rsid w:val="00B62EAC"/>
    <w:rsid w:val="00C3170D"/>
    <w:rsid w:val="00C81613"/>
    <w:rsid w:val="00EC20CA"/>
    <w:rsid w:val="00EF681C"/>
    <w:rsid w:val="00FA1674"/>
    <w:rsid w:val="00FB5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C8AB473"/>
  <w15:docId w15:val="{D5E59BDE-622B-4EE0-AF05-1CAAE088E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5" w:line="284" w:lineRule="auto"/>
      <w:ind w:left="10" w:right="2" w:hanging="10"/>
      <w:jc w:val="both"/>
    </w:pPr>
    <w:rPr>
      <w:rFonts w:ascii="Arial" w:eastAsia="Arial" w:hAnsi="Arial" w:cs="Arial"/>
      <w:color w:val="000000"/>
      <w:sz w:val="24"/>
    </w:rPr>
  </w:style>
  <w:style w:type="paragraph" w:styleId="Heading1">
    <w:name w:val="heading 1"/>
    <w:basedOn w:val="Heading2"/>
    <w:next w:val="Normal"/>
    <w:link w:val="Heading1Char"/>
    <w:uiPriority w:val="9"/>
    <w:qFormat/>
    <w:rsid w:val="000D0D42"/>
    <w:pPr>
      <w:outlineLvl w:val="0"/>
    </w:pPr>
    <w:rPr>
      <w:sz w:val="32"/>
      <w:szCs w:val="28"/>
    </w:rPr>
  </w:style>
  <w:style w:type="paragraph" w:styleId="Heading2">
    <w:name w:val="heading 2"/>
    <w:basedOn w:val="Heading3"/>
    <w:next w:val="Normal"/>
    <w:link w:val="Heading2Char"/>
    <w:uiPriority w:val="9"/>
    <w:unhideWhenUsed/>
    <w:qFormat/>
    <w:rsid w:val="00B62EAC"/>
    <w:pPr>
      <w:ind w:left="-5" w:right="0"/>
      <w:outlineLvl w:val="1"/>
    </w:pPr>
    <w:rPr>
      <w:b w:val="0"/>
      <w:bCs/>
      <w:i/>
      <w:iCs/>
      <w:sz w:val="28"/>
      <w:szCs w:val="24"/>
    </w:rPr>
  </w:style>
  <w:style w:type="paragraph" w:styleId="Heading3">
    <w:name w:val="heading 3"/>
    <w:next w:val="Normal"/>
    <w:link w:val="Heading3Char"/>
    <w:uiPriority w:val="9"/>
    <w:unhideWhenUsed/>
    <w:qFormat/>
    <w:rsid w:val="00447845"/>
    <w:pPr>
      <w:keepNext/>
      <w:keepLines/>
      <w:spacing w:after="0" w:line="276" w:lineRule="auto"/>
      <w:ind w:left="11" w:right="6" w:hanging="11"/>
      <w:outlineLvl w:val="2"/>
    </w:pPr>
    <w:rPr>
      <w:rFonts w:ascii="Arial" w:eastAsia="Arial" w:hAnsi="Arial" w:cs="Arial"/>
      <w:b/>
      <w:color w:val="000000"/>
      <w:sz w:val="24"/>
    </w:rPr>
  </w:style>
  <w:style w:type="paragraph" w:styleId="Heading4">
    <w:name w:val="heading 4"/>
    <w:basedOn w:val="Normal"/>
    <w:next w:val="Normal"/>
    <w:link w:val="Heading4Char"/>
    <w:uiPriority w:val="9"/>
    <w:unhideWhenUsed/>
    <w:qFormat/>
    <w:rsid w:val="00447845"/>
    <w:pPr>
      <w:keepNext/>
      <w:keepLines/>
      <w:spacing w:after="0" w:line="276" w:lineRule="auto"/>
      <w:ind w:left="11" w:right="0" w:hanging="11"/>
      <w:jc w:val="left"/>
      <w:outlineLvl w:val="3"/>
    </w:pPr>
    <w:rPr>
      <w:rFonts w:eastAsiaTheme="majorEastAsia" w:cstheme="majorBidi"/>
      <w:b/>
      <w:i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447845"/>
    <w:rPr>
      <w:rFonts w:ascii="Arial" w:eastAsia="Arial" w:hAnsi="Arial" w:cs="Arial"/>
      <w:b/>
      <w:color w:val="000000"/>
      <w:sz w:val="24"/>
    </w:rPr>
  </w:style>
  <w:style w:type="character" w:customStyle="1" w:styleId="Heading1Char">
    <w:name w:val="Heading 1 Char"/>
    <w:link w:val="Heading1"/>
    <w:uiPriority w:val="9"/>
    <w:rsid w:val="000D0D42"/>
    <w:rPr>
      <w:rFonts w:ascii="Arial" w:eastAsia="Arial" w:hAnsi="Arial" w:cs="Arial"/>
      <w:b/>
      <w:color w:val="000000"/>
      <w:sz w:val="32"/>
      <w:szCs w:val="28"/>
    </w:rPr>
  </w:style>
  <w:style w:type="paragraph" w:customStyle="1" w:styleId="footnotedescription">
    <w:name w:val="footnote description"/>
    <w:next w:val="Normal"/>
    <w:link w:val="footnotedescriptionChar"/>
    <w:hidden/>
    <w:pPr>
      <w:spacing w:after="0" w:line="254" w:lineRule="auto"/>
      <w:ind w:right="9"/>
      <w:jc w:val="both"/>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Heading2Char">
    <w:name w:val="Heading 2 Char"/>
    <w:link w:val="Heading2"/>
    <w:uiPriority w:val="9"/>
    <w:rsid w:val="00B62EAC"/>
    <w:rPr>
      <w:rFonts w:ascii="Arial" w:eastAsia="Arial" w:hAnsi="Arial" w:cs="Arial"/>
      <w:b/>
      <w:bCs/>
      <w:iCs/>
      <w:color w:val="000000"/>
      <w:sz w:val="28"/>
      <w:szCs w:val="24"/>
    </w:rPr>
  </w:style>
  <w:style w:type="character" w:customStyle="1" w:styleId="footnotemark">
    <w:name w:val="footnote mark"/>
    <w:hidden/>
    <w:rPr>
      <w:rFonts w:ascii="Arial" w:eastAsia="Arial" w:hAnsi="Arial" w:cs="Arial"/>
      <w:b/>
      <w:i/>
      <w:color w:val="000000"/>
      <w:sz w:val="20"/>
      <w:vertAlign w:val="superscript"/>
    </w:rPr>
  </w:style>
  <w:style w:type="paragraph" w:styleId="Revision">
    <w:name w:val="Revision"/>
    <w:hidden/>
    <w:uiPriority w:val="99"/>
    <w:semiHidden/>
    <w:rsid w:val="00FB5530"/>
    <w:pPr>
      <w:spacing w:after="0" w:line="240" w:lineRule="auto"/>
    </w:pPr>
    <w:rPr>
      <w:rFonts w:ascii="Arial" w:eastAsia="Arial" w:hAnsi="Arial" w:cs="Arial"/>
      <w:color w:val="000000"/>
      <w:sz w:val="24"/>
    </w:rPr>
  </w:style>
  <w:style w:type="paragraph" w:styleId="Footer">
    <w:name w:val="footer"/>
    <w:basedOn w:val="Normal"/>
    <w:link w:val="FooterChar"/>
    <w:uiPriority w:val="99"/>
    <w:unhideWhenUsed/>
    <w:rsid w:val="000D0D42"/>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lang w:val="en-IE" w:eastAsia="en-IE"/>
    </w:rPr>
  </w:style>
  <w:style w:type="character" w:customStyle="1" w:styleId="FooterChar">
    <w:name w:val="Footer Char"/>
    <w:basedOn w:val="DefaultParagraphFont"/>
    <w:link w:val="Footer"/>
    <w:uiPriority w:val="99"/>
    <w:rsid w:val="000D0D42"/>
    <w:rPr>
      <w:rFonts w:cs="Times New Roman"/>
      <w:lang w:val="en-IE" w:eastAsia="en-IE"/>
    </w:rPr>
  </w:style>
  <w:style w:type="character" w:styleId="CommentReference">
    <w:name w:val="annotation reference"/>
    <w:basedOn w:val="DefaultParagraphFont"/>
    <w:uiPriority w:val="99"/>
    <w:semiHidden/>
    <w:unhideWhenUsed/>
    <w:rsid w:val="000D0D42"/>
    <w:rPr>
      <w:sz w:val="16"/>
      <w:szCs w:val="16"/>
    </w:rPr>
  </w:style>
  <w:style w:type="paragraph" w:styleId="CommentText">
    <w:name w:val="annotation text"/>
    <w:basedOn w:val="Normal"/>
    <w:link w:val="CommentTextChar"/>
    <w:uiPriority w:val="99"/>
    <w:unhideWhenUsed/>
    <w:rsid w:val="000D0D42"/>
    <w:pPr>
      <w:spacing w:line="240" w:lineRule="auto"/>
    </w:pPr>
    <w:rPr>
      <w:sz w:val="20"/>
      <w:szCs w:val="20"/>
    </w:rPr>
  </w:style>
  <w:style w:type="character" w:customStyle="1" w:styleId="CommentTextChar">
    <w:name w:val="Comment Text Char"/>
    <w:basedOn w:val="DefaultParagraphFont"/>
    <w:link w:val="CommentText"/>
    <w:uiPriority w:val="99"/>
    <w:rsid w:val="000D0D42"/>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0D0D42"/>
    <w:rPr>
      <w:b/>
      <w:bCs/>
    </w:rPr>
  </w:style>
  <w:style w:type="character" w:customStyle="1" w:styleId="CommentSubjectChar">
    <w:name w:val="Comment Subject Char"/>
    <w:basedOn w:val="CommentTextChar"/>
    <w:link w:val="CommentSubject"/>
    <w:uiPriority w:val="99"/>
    <w:semiHidden/>
    <w:rsid w:val="000D0D42"/>
    <w:rPr>
      <w:rFonts w:ascii="Arial" w:eastAsia="Arial" w:hAnsi="Arial" w:cs="Arial"/>
      <w:b/>
      <w:bCs/>
      <w:color w:val="000000"/>
      <w:sz w:val="20"/>
      <w:szCs w:val="20"/>
    </w:rPr>
  </w:style>
  <w:style w:type="paragraph" w:styleId="Title">
    <w:name w:val="Title"/>
    <w:basedOn w:val="Normal"/>
    <w:next w:val="Normal"/>
    <w:link w:val="TitleChar"/>
    <w:uiPriority w:val="10"/>
    <w:qFormat/>
    <w:rsid w:val="000D0D42"/>
    <w:pPr>
      <w:spacing w:after="338" w:line="276" w:lineRule="auto"/>
      <w:ind w:left="346" w:right="0" w:firstLine="0"/>
      <w:jc w:val="center"/>
    </w:pPr>
    <w:rPr>
      <w:b/>
      <w:sz w:val="48"/>
      <w:szCs w:val="48"/>
    </w:rPr>
  </w:style>
  <w:style w:type="character" w:customStyle="1" w:styleId="TitleChar">
    <w:name w:val="Title Char"/>
    <w:basedOn w:val="DefaultParagraphFont"/>
    <w:link w:val="Title"/>
    <w:uiPriority w:val="10"/>
    <w:rsid w:val="000D0D42"/>
    <w:rPr>
      <w:rFonts w:ascii="Arial" w:eastAsia="Arial" w:hAnsi="Arial" w:cs="Arial"/>
      <w:b/>
      <w:color w:val="000000"/>
      <w:sz w:val="48"/>
      <w:szCs w:val="48"/>
    </w:rPr>
  </w:style>
  <w:style w:type="paragraph" w:styleId="TOCHeading">
    <w:name w:val="TOC Heading"/>
    <w:basedOn w:val="Heading1"/>
    <w:next w:val="Normal"/>
    <w:uiPriority w:val="39"/>
    <w:unhideWhenUsed/>
    <w:qFormat/>
    <w:rsid w:val="008B3939"/>
    <w:pPr>
      <w:spacing w:before="240" w:line="259" w:lineRule="auto"/>
      <w:ind w:left="0" w:firstLine="0"/>
      <w:outlineLvl w:val="9"/>
    </w:pPr>
    <w:rPr>
      <w:rFonts w:asciiTheme="majorHAnsi" w:eastAsiaTheme="majorEastAsia" w:hAnsiTheme="majorHAnsi" w:cstheme="majorBidi"/>
      <w:b/>
      <w:bCs w:val="0"/>
      <w:iCs w:val="0"/>
      <w:color w:val="2F5496" w:themeColor="accent1" w:themeShade="BF"/>
      <w:szCs w:val="32"/>
      <w:lang w:val="en-IE" w:eastAsia="en-IE"/>
    </w:rPr>
  </w:style>
  <w:style w:type="paragraph" w:styleId="TOC1">
    <w:name w:val="toc 1"/>
    <w:basedOn w:val="Normal"/>
    <w:next w:val="Normal"/>
    <w:autoRedefine/>
    <w:uiPriority w:val="39"/>
    <w:unhideWhenUsed/>
    <w:rsid w:val="008B3939"/>
    <w:pPr>
      <w:tabs>
        <w:tab w:val="right" w:leader="dot" w:pos="9633"/>
      </w:tabs>
      <w:spacing w:after="100"/>
      <w:ind w:left="0"/>
    </w:pPr>
  </w:style>
  <w:style w:type="paragraph" w:styleId="TOC2">
    <w:name w:val="toc 2"/>
    <w:basedOn w:val="Normal"/>
    <w:next w:val="Normal"/>
    <w:autoRedefine/>
    <w:uiPriority w:val="39"/>
    <w:unhideWhenUsed/>
    <w:rsid w:val="008B3939"/>
    <w:pPr>
      <w:spacing w:after="100"/>
      <w:ind w:left="240"/>
    </w:pPr>
  </w:style>
  <w:style w:type="character" w:styleId="Hyperlink">
    <w:name w:val="Hyperlink"/>
    <w:basedOn w:val="DefaultParagraphFont"/>
    <w:uiPriority w:val="99"/>
    <w:unhideWhenUsed/>
    <w:rsid w:val="008B3939"/>
    <w:rPr>
      <w:color w:val="0563C1" w:themeColor="hyperlink"/>
      <w:u w:val="single"/>
    </w:rPr>
  </w:style>
  <w:style w:type="paragraph" w:styleId="ListParagraph">
    <w:name w:val="List Paragraph"/>
    <w:basedOn w:val="Normal"/>
    <w:uiPriority w:val="34"/>
    <w:qFormat/>
    <w:rsid w:val="00285CDE"/>
    <w:pPr>
      <w:ind w:left="720"/>
      <w:contextualSpacing/>
    </w:pPr>
  </w:style>
  <w:style w:type="table" w:styleId="TableGrid">
    <w:name w:val="Table Grid"/>
    <w:basedOn w:val="TableNormal"/>
    <w:uiPriority w:val="59"/>
    <w:rsid w:val="008566F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16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613"/>
    <w:rPr>
      <w:rFonts w:ascii="Segoe UI" w:eastAsia="Arial" w:hAnsi="Segoe UI" w:cs="Segoe UI"/>
      <w:color w:val="000000"/>
      <w:sz w:val="18"/>
      <w:szCs w:val="18"/>
    </w:rPr>
  </w:style>
  <w:style w:type="character" w:customStyle="1" w:styleId="Heading4Char">
    <w:name w:val="Heading 4 Char"/>
    <w:basedOn w:val="DefaultParagraphFont"/>
    <w:link w:val="Heading4"/>
    <w:uiPriority w:val="9"/>
    <w:rsid w:val="00447845"/>
    <w:rPr>
      <w:rFonts w:ascii="Arial" w:eastAsiaTheme="majorEastAsia" w:hAnsi="Arial" w:cstheme="majorBidi"/>
      <w:b/>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0ECE9-1CC8-4AD3-B6DB-D1DA229E7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2184</Words>
  <Characters>12450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Pensions Authority</Company>
  <LinksUpToDate>false</LinksUpToDate>
  <CharactersWithSpaces>14605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Leonard</dc:creator>
  <cp:keywords/>
  <cp:lastModifiedBy>Aideen Bugler (Pensions Authority)</cp:lastModifiedBy>
  <cp:revision>3</cp:revision>
  <cp:lastPrinted>2023-06-14T09:47:00Z</cp:lastPrinted>
  <dcterms:created xsi:type="dcterms:W3CDTF">2026-04-14T15:31:00Z</dcterms:created>
  <dcterms:modified xsi:type="dcterms:W3CDTF">2026-04-14T15:37:00Z</dcterms:modified>
</cp:coreProperties>
</file>