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5F97A" w14:textId="10D7F79D" w:rsidR="003C5C86" w:rsidRPr="00001064" w:rsidRDefault="003C5C86" w:rsidP="00B751AE">
      <w:pPr>
        <w:spacing w:after="0"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Hlk173142637"/>
      <w:r w:rsidRPr="00001064">
        <w:rPr>
          <w:rFonts w:ascii="Arial" w:hAnsi="Arial" w:cs="Arial"/>
          <w:b/>
          <w:bCs/>
          <w:sz w:val="32"/>
          <w:szCs w:val="32"/>
        </w:rPr>
        <w:t>Digital Operational Resilience Act (DORA)</w:t>
      </w:r>
      <w:r w:rsidR="001419A0" w:rsidRPr="00001064">
        <w:rPr>
          <w:rFonts w:ascii="Arial" w:hAnsi="Arial" w:cs="Arial"/>
          <w:b/>
          <w:bCs/>
          <w:sz w:val="32"/>
          <w:szCs w:val="32"/>
        </w:rPr>
        <w:t xml:space="preserve"> Regulation</w:t>
      </w:r>
    </w:p>
    <w:bookmarkEnd w:id="0"/>
    <w:p w14:paraId="2D74DE69" w14:textId="77777777" w:rsidR="00B751AE" w:rsidRDefault="00B751AE" w:rsidP="00B751AE">
      <w:pPr>
        <w:spacing w:after="0" w:line="276" w:lineRule="auto"/>
        <w:rPr>
          <w:rFonts w:ascii="Arial" w:hAnsi="Arial" w:cs="Arial"/>
          <w:b/>
          <w:bCs/>
          <w:sz w:val="28"/>
          <w:szCs w:val="28"/>
        </w:rPr>
      </w:pPr>
    </w:p>
    <w:p w14:paraId="15B3DBA9" w14:textId="50782D76" w:rsidR="00535D66" w:rsidRPr="00001064" w:rsidRDefault="00535D66" w:rsidP="00B751AE">
      <w:pPr>
        <w:pStyle w:val="Heading3"/>
        <w:rPr>
          <w:b w:val="0"/>
        </w:rPr>
      </w:pPr>
      <w:r w:rsidRPr="00001064">
        <w:t xml:space="preserve">What is DORA? </w:t>
      </w:r>
    </w:p>
    <w:p w14:paraId="3B3A16CB" w14:textId="4FBDAD6C" w:rsidR="007F0F97" w:rsidRPr="00ED0316" w:rsidRDefault="007C6ED6" w:rsidP="00B751AE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D0316">
        <w:rPr>
          <w:rFonts w:ascii="Arial" w:hAnsi="Arial" w:cs="Arial"/>
          <w:sz w:val="24"/>
          <w:szCs w:val="24"/>
        </w:rPr>
        <w:t xml:space="preserve">DORA </w:t>
      </w:r>
      <w:r w:rsidR="005B143F" w:rsidRPr="00ED0316">
        <w:rPr>
          <w:rFonts w:ascii="Arial" w:hAnsi="Arial" w:cs="Arial"/>
          <w:sz w:val="24"/>
          <w:szCs w:val="24"/>
        </w:rPr>
        <w:t>is a</w:t>
      </w:r>
      <w:r w:rsidR="00B64C98">
        <w:rPr>
          <w:rFonts w:ascii="Arial" w:hAnsi="Arial" w:cs="Arial"/>
          <w:sz w:val="24"/>
          <w:szCs w:val="24"/>
        </w:rPr>
        <w:t>n EU</w:t>
      </w:r>
      <w:r w:rsidR="005B143F" w:rsidRPr="00ED0316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="00E97BF7">
          <w:rPr>
            <w:rStyle w:val="Hyperlink"/>
            <w:rFonts w:ascii="Arial" w:hAnsi="Arial" w:cs="Arial"/>
            <w:sz w:val="24"/>
            <w:szCs w:val="24"/>
          </w:rPr>
          <w:t>Regulation</w:t>
        </w:r>
      </w:hyperlink>
      <w:r w:rsidR="005B143F" w:rsidRPr="00ED0316">
        <w:rPr>
          <w:rFonts w:ascii="Arial" w:hAnsi="Arial" w:cs="Arial"/>
          <w:sz w:val="24"/>
          <w:szCs w:val="24"/>
        </w:rPr>
        <w:t xml:space="preserve"> that </w:t>
      </w:r>
      <w:r w:rsidRPr="00ED0316">
        <w:rPr>
          <w:rFonts w:ascii="Arial" w:hAnsi="Arial" w:cs="Arial"/>
          <w:sz w:val="24"/>
          <w:szCs w:val="24"/>
        </w:rPr>
        <w:t xml:space="preserve">aims to </w:t>
      </w:r>
      <w:r w:rsidR="00D527EC" w:rsidRPr="00ED0316">
        <w:rPr>
          <w:rFonts w:ascii="Arial" w:hAnsi="Arial" w:cs="Arial"/>
          <w:sz w:val="24"/>
          <w:szCs w:val="24"/>
        </w:rPr>
        <w:t>strengthen digital operational resilience</w:t>
      </w:r>
      <w:r w:rsidR="007F0F97" w:rsidRPr="00ED0316">
        <w:rPr>
          <w:rFonts w:ascii="Arial" w:hAnsi="Arial" w:cs="Arial"/>
          <w:sz w:val="24"/>
          <w:szCs w:val="24"/>
        </w:rPr>
        <w:t xml:space="preserve"> in</w:t>
      </w:r>
      <w:r w:rsidRPr="00ED0316">
        <w:rPr>
          <w:rFonts w:ascii="Arial" w:hAnsi="Arial" w:cs="Arial"/>
          <w:sz w:val="24"/>
          <w:szCs w:val="24"/>
        </w:rPr>
        <w:t xml:space="preserve"> </w:t>
      </w:r>
      <w:r w:rsidR="007F0F97" w:rsidRPr="00ED0316">
        <w:rPr>
          <w:rFonts w:ascii="Arial" w:hAnsi="Arial" w:cs="Arial"/>
          <w:sz w:val="24"/>
          <w:szCs w:val="24"/>
        </w:rPr>
        <w:t xml:space="preserve">the financial sector by introducing </w:t>
      </w:r>
      <w:r w:rsidR="00F97365" w:rsidRPr="00ED0316">
        <w:rPr>
          <w:rFonts w:ascii="Arial" w:hAnsi="Arial" w:cs="Arial"/>
          <w:sz w:val="24"/>
          <w:szCs w:val="24"/>
        </w:rPr>
        <w:t>harmonised</w:t>
      </w:r>
      <w:r w:rsidR="007F0F97" w:rsidRPr="00ED0316">
        <w:rPr>
          <w:rFonts w:ascii="Arial" w:hAnsi="Arial" w:cs="Arial"/>
          <w:sz w:val="24"/>
          <w:szCs w:val="24"/>
        </w:rPr>
        <w:t xml:space="preserve"> requirements for financial entities on the use of information and communication technology (ICT) services. </w:t>
      </w:r>
    </w:p>
    <w:p w14:paraId="279A2043" w14:textId="3728F6DA" w:rsidR="007C1EEC" w:rsidRDefault="00492C82" w:rsidP="00B751AE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D0316">
        <w:rPr>
          <w:rFonts w:ascii="Arial" w:hAnsi="Arial" w:cs="Arial"/>
          <w:sz w:val="24"/>
          <w:szCs w:val="24"/>
        </w:rPr>
        <w:t>DORA aims to ensure that ICT risks are managed by financial entities</w:t>
      </w:r>
      <w:r w:rsidR="001419A0" w:rsidRPr="00ED0316">
        <w:rPr>
          <w:rFonts w:ascii="Arial" w:hAnsi="Arial" w:cs="Arial"/>
          <w:sz w:val="24"/>
          <w:szCs w:val="24"/>
        </w:rPr>
        <w:t>, including pension schemes</w:t>
      </w:r>
      <w:r w:rsidRPr="00ED0316">
        <w:rPr>
          <w:rFonts w:ascii="Arial" w:hAnsi="Arial" w:cs="Arial"/>
          <w:sz w:val="24"/>
          <w:szCs w:val="24"/>
        </w:rPr>
        <w:t xml:space="preserve">. </w:t>
      </w:r>
    </w:p>
    <w:p w14:paraId="7DF0683E" w14:textId="77777777" w:rsidR="00B751AE" w:rsidRPr="00ED0316" w:rsidRDefault="00B751AE" w:rsidP="00B751AE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DA87F91" w14:textId="6D38657B" w:rsidR="00492C82" w:rsidRDefault="00492C82" w:rsidP="00B751AE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D0316">
        <w:rPr>
          <w:rFonts w:ascii="Arial" w:hAnsi="Arial" w:cs="Arial"/>
          <w:sz w:val="24"/>
          <w:szCs w:val="24"/>
        </w:rPr>
        <w:t>In preparation for DORA, trustees will need to identify any scheme activity</w:t>
      </w:r>
      <w:r w:rsidR="00D92AB7" w:rsidRPr="00ED0316">
        <w:rPr>
          <w:rFonts w:ascii="Arial" w:hAnsi="Arial" w:cs="Arial"/>
          <w:sz w:val="24"/>
          <w:szCs w:val="24"/>
        </w:rPr>
        <w:t xml:space="preserve"> that is</w:t>
      </w:r>
      <w:r w:rsidRPr="00ED0316">
        <w:rPr>
          <w:rFonts w:ascii="Arial" w:hAnsi="Arial" w:cs="Arial"/>
          <w:sz w:val="24"/>
          <w:szCs w:val="24"/>
        </w:rPr>
        <w:t xml:space="preserve"> supported by ICT systems and services, paying particular attention to critical or important functions. Trustees will also need to identify the </w:t>
      </w:r>
      <w:r w:rsidR="001419A0" w:rsidRPr="00ED0316">
        <w:rPr>
          <w:rFonts w:ascii="Arial" w:hAnsi="Arial" w:cs="Arial"/>
          <w:sz w:val="24"/>
          <w:szCs w:val="24"/>
        </w:rPr>
        <w:t xml:space="preserve">third </w:t>
      </w:r>
      <w:r w:rsidRPr="00ED0316">
        <w:rPr>
          <w:rFonts w:ascii="Arial" w:hAnsi="Arial" w:cs="Arial"/>
          <w:sz w:val="24"/>
          <w:szCs w:val="24"/>
        </w:rPr>
        <w:t xml:space="preserve">parties providing those ICT services and ensure that relevant outsourcing contracts contain provisions that facilitate compliance with the </w:t>
      </w:r>
      <w:r w:rsidR="001419A0" w:rsidRPr="00ED0316">
        <w:rPr>
          <w:rFonts w:ascii="Arial" w:hAnsi="Arial" w:cs="Arial"/>
          <w:sz w:val="24"/>
          <w:szCs w:val="24"/>
        </w:rPr>
        <w:t xml:space="preserve">new </w:t>
      </w:r>
      <w:r w:rsidRPr="00ED0316">
        <w:rPr>
          <w:rFonts w:ascii="Arial" w:hAnsi="Arial" w:cs="Arial"/>
          <w:sz w:val="24"/>
          <w:szCs w:val="24"/>
        </w:rPr>
        <w:t xml:space="preserve">requirements. </w:t>
      </w:r>
    </w:p>
    <w:p w14:paraId="37F53940" w14:textId="77777777" w:rsidR="00B751AE" w:rsidRPr="00ED0316" w:rsidRDefault="00B751AE" w:rsidP="00B751AE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637F6E1" w14:textId="0E4FDD8B" w:rsidR="00492C82" w:rsidRPr="00B751AE" w:rsidRDefault="00492C82" w:rsidP="00B751AE">
      <w:pPr>
        <w:pStyle w:val="Heading3"/>
      </w:pPr>
      <w:r w:rsidRPr="00B751AE">
        <w:t>When does DORA come into force?</w:t>
      </w:r>
    </w:p>
    <w:p w14:paraId="0149454C" w14:textId="67EEACFF" w:rsidR="00D92AB7" w:rsidRPr="00ED0316" w:rsidRDefault="00775279" w:rsidP="00B751AE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D0316">
        <w:rPr>
          <w:rFonts w:ascii="Arial" w:hAnsi="Arial" w:cs="Arial"/>
          <w:sz w:val="24"/>
          <w:szCs w:val="24"/>
        </w:rPr>
        <w:t>The regulation w</w:t>
      </w:r>
      <w:r w:rsidR="00D70B1B" w:rsidRPr="00ED0316">
        <w:rPr>
          <w:rFonts w:ascii="Arial" w:hAnsi="Arial" w:cs="Arial"/>
          <w:sz w:val="24"/>
          <w:szCs w:val="24"/>
        </w:rPr>
        <w:t>ill</w:t>
      </w:r>
      <w:r w:rsidRPr="00ED0316">
        <w:rPr>
          <w:rFonts w:ascii="Arial" w:hAnsi="Arial" w:cs="Arial"/>
          <w:sz w:val="24"/>
          <w:szCs w:val="24"/>
        </w:rPr>
        <w:t xml:space="preserve"> apply </w:t>
      </w:r>
      <w:r w:rsidR="009C3E9F" w:rsidRPr="00ED0316">
        <w:rPr>
          <w:rFonts w:ascii="Arial" w:hAnsi="Arial" w:cs="Arial"/>
          <w:sz w:val="24"/>
          <w:szCs w:val="24"/>
        </w:rPr>
        <w:t xml:space="preserve">from </w:t>
      </w:r>
      <w:r w:rsidR="009C3E9F" w:rsidRPr="00201EDA">
        <w:rPr>
          <w:rFonts w:ascii="Arial" w:hAnsi="Arial" w:cs="Arial"/>
          <w:sz w:val="24"/>
          <w:szCs w:val="24"/>
        </w:rPr>
        <w:t>17 January 2025</w:t>
      </w:r>
      <w:r w:rsidR="007F0F97" w:rsidRPr="003D215F">
        <w:rPr>
          <w:rFonts w:ascii="Arial" w:hAnsi="Arial" w:cs="Arial"/>
          <w:sz w:val="24"/>
          <w:szCs w:val="24"/>
        </w:rPr>
        <w:t>.</w:t>
      </w:r>
      <w:r w:rsidR="007F0F97" w:rsidRPr="00ED0316">
        <w:rPr>
          <w:rFonts w:ascii="Arial" w:hAnsi="Arial" w:cs="Arial"/>
          <w:sz w:val="24"/>
          <w:szCs w:val="24"/>
        </w:rPr>
        <w:t xml:space="preserve"> </w:t>
      </w:r>
    </w:p>
    <w:p w14:paraId="4FA414BC" w14:textId="1DD19D02" w:rsidR="00775279" w:rsidRDefault="007F0F97" w:rsidP="00B751AE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D0316">
        <w:rPr>
          <w:rFonts w:ascii="Arial" w:hAnsi="Arial" w:cs="Arial"/>
          <w:sz w:val="24"/>
          <w:szCs w:val="24"/>
        </w:rPr>
        <w:t xml:space="preserve">Trustees will bear ultimate responsibility for ensuring </w:t>
      </w:r>
      <w:r w:rsidR="00700220" w:rsidRPr="00ED0316">
        <w:rPr>
          <w:rFonts w:ascii="Arial" w:hAnsi="Arial" w:cs="Arial"/>
          <w:sz w:val="24"/>
          <w:szCs w:val="24"/>
        </w:rPr>
        <w:t xml:space="preserve">their </w:t>
      </w:r>
      <w:r w:rsidRPr="00ED0316">
        <w:rPr>
          <w:rFonts w:ascii="Arial" w:hAnsi="Arial" w:cs="Arial"/>
          <w:sz w:val="24"/>
          <w:szCs w:val="24"/>
        </w:rPr>
        <w:t xml:space="preserve">scheme’s compliance with the requirements, irrespective of any outsourcing arrangements in place.  </w:t>
      </w:r>
    </w:p>
    <w:p w14:paraId="4574565E" w14:textId="77777777" w:rsidR="00B751AE" w:rsidRPr="00ED0316" w:rsidRDefault="00B751AE" w:rsidP="00B751AE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16115C0" w14:textId="0D811FD6" w:rsidR="00D70B1B" w:rsidRPr="00B751AE" w:rsidRDefault="00D70B1B" w:rsidP="00B751AE">
      <w:pPr>
        <w:pStyle w:val="Heading3"/>
      </w:pPr>
      <w:r w:rsidRPr="00B751AE">
        <w:t>Sc</w:t>
      </w:r>
      <w:r w:rsidR="003C5C86" w:rsidRPr="00B751AE">
        <w:t>hemes subject to</w:t>
      </w:r>
      <w:r w:rsidRPr="00B751AE">
        <w:t xml:space="preserve"> DORA</w:t>
      </w:r>
    </w:p>
    <w:p w14:paraId="7ABB6B83" w14:textId="2DAEFA82" w:rsidR="00D0069D" w:rsidRDefault="00ED0316" w:rsidP="00B751AE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D0316">
        <w:rPr>
          <w:rFonts w:ascii="Arial" w:hAnsi="Arial" w:cs="Arial"/>
          <w:sz w:val="24"/>
          <w:szCs w:val="24"/>
        </w:rPr>
        <w:t xml:space="preserve">The </w:t>
      </w:r>
      <w:proofErr w:type="gramStart"/>
      <w:r w:rsidRPr="00ED0316">
        <w:rPr>
          <w:rFonts w:ascii="Arial" w:hAnsi="Arial" w:cs="Arial"/>
          <w:sz w:val="24"/>
          <w:szCs w:val="24"/>
        </w:rPr>
        <w:t>manner in which</w:t>
      </w:r>
      <w:proofErr w:type="gramEnd"/>
      <w:r w:rsidRPr="00ED0316">
        <w:rPr>
          <w:rFonts w:ascii="Arial" w:hAnsi="Arial" w:cs="Arial"/>
          <w:sz w:val="24"/>
          <w:szCs w:val="24"/>
        </w:rPr>
        <w:t xml:space="preserve"> </w:t>
      </w:r>
      <w:r w:rsidR="00486146" w:rsidRPr="00ED0316">
        <w:rPr>
          <w:rFonts w:ascii="Arial" w:hAnsi="Arial" w:cs="Arial"/>
          <w:sz w:val="24"/>
          <w:szCs w:val="24"/>
        </w:rPr>
        <w:t xml:space="preserve">the </w:t>
      </w:r>
      <w:r w:rsidR="00350B5D" w:rsidRPr="00ED0316">
        <w:rPr>
          <w:rFonts w:ascii="Arial" w:hAnsi="Arial" w:cs="Arial"/>
          <w:sz w:val="24"/>
          <w:szCs w:val="24"/>
        </w:rPr>
        <w:t>D</w:t>
      </w:r>
      <w:r w:rsidR="00486146" w:rsidRPr="00ED0316">
        <w:rPr>
          <w:rFonts w:ascii="Arial" w:hAnsi="Arial" w:cs="Arial"/>
          <w:sz w:val="24"/>
          <w:szCs w:val="24"/>
        </w:rPr>
        <w:t>ORA requirements</w:t>
      </w:r>
      <w:r w:rsidR="00350B5D" w:rsidRPr="00ED0316">
        <w:rPr>
          <w:rFonts w:ascii="Arial" w:hAnsi="Arial" w:cs="Arial"/>
          <w:sz w:val="24"/>
          <w:szCs w:val="24"/>
        </w:rPr>
        <w:t xml:space="preserve"> appl</w:t>
      </w:r>
      <w:r w:rsidR="00486146" w:rsidRPr="00ED0316">
        <w:rPr>
          <w:rFonts w:ascii="Arial" w:hAnsi="Arial" w:cs="Arial"/>
          <w:sz w:val="24"/>
          <w:szCs w:val="24"/>
        </w:rPr>
        <w:t>y</w:t>
      </w:r>
      <w:r w:rsidR="00350B5D" w:rsidRPr="00ED0316">
        <w:rPr>
          <w:rFonts w:ascii="Arial" w:hAnsi="Arial" w:cs="Arial"/>
          <w:sz w:val="24"/>
          <w:szCs w:val="24"/>
        </w:rPr>
        <w:t xml:space="preserve"> to a scheme will depend on the size of the scheme</w:t>
      </w:r>
      <w:r w:rsidRPr="00ED0316">
        <w:rPr>
          <w:rFonts w:ascii="Arial" w:hAnsi="Arial" w:cs="Arial"/>
          <w:sz w:val="24"/>
          <w:szCs w:val="24"/>
        </w:rPr>
        <w:t>’</w:t>
      </w:r>
      <w:r w:rsidR="00350B5D" w:rsidRPr="00ED0316">
        <w:rPr>
          <w:rFonts w:ascii="Arial" w:hAnsi="Arial" w:cs="Arial"/>
          <w:sz w:val="24"/>
          <w:szCs w:val="24"/>
        </w:rPr>
        <w:t>s active and deferred members</w:t>
      </w:r>
      <w:r w:rsidR="004F0BA2" w:rsidRPr="00ED0316">
        <w:rPr>
          <w:rFonts w:ascii="Arial" w:hAnsi="Arial" w:cs="Arial"/>
          <w:sz w:val="24"/>
          <w:szCs w:val="24"/>
        </w:rPr>
        <w:t>hip.</w:t>
      </w:r>
    </w:p>
    <w:p w14:paraId="0A4AE913" w14:textId="77777777" w:rsidR="00B751AE" w:rsidRPr="00ED0316" w:rsidRDefault="00B751AE" w:rsidP="00B751AE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C10D049" w14:textId="2CCD15AF" w:rsidR="00D41F28" w:rsidRPr="00ED0316" w:rsidRDefault="001419A0" w:rsidP="00B751AE">
      <w:pPr>
        <w:pStyle w:val="ListParagraph"/>
        <w:numPr>
          <w:ilvl w:val="0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ED0316">
        <w:rPr>
          <w:rFonts w:ascii="Arial" w:hAnsi="Arial" w:cs="Arial"/>
          <w:sz w:val="24"/>
          <w:szCs w:val="24"/>
        </w:rPr>
        <w:t xml:space="preserve">Schemes with 100 or more active and deferred members are subject to all DORA requirements. </w:t>
      </w:r>
    </w:p>
    <w:p w14:paraId="3937BB04" w14:textId="4C6DFB40" w:rsidR="00D0069D" w:rsidRPr="00C4118A" w:rsidRDefault="007F0F97" w:rsidP="00B751AE">
      <w:pPr>
        <w:pStyle w:val="ListParagraph"/>
        <w:numPr>
          <w:ilvl w:val="0"/>
          <w:numId w:val="2"/>
        </w:numPr>
        <w:spacing w:after="0" w:line="276" w:lineRule="auto"/>
        <w:rPr>
          <w:rFonts w:ascii="Arial" w:hAnsi="Arial" w:cs="Arial"/>
        </w:rPr>
      </w:pPr>
      <w:r w:rsidRPr="00C4118A">
        <w:rPr>
          <w:rFonts w:ascii="Arial" w:hAnsi="Arial" w:cs="Arial"/>
          <w:sz w:val="24"/>
          <w:szCs w:val="24"/>
        </w:rPr>
        <w:t xml:space="preserve">Schemes with </w:t>
      </w:r>
      <w:r w:rsidR="00350B5D" w:rsidRPr="00C4118A">
        <w:rPr>
          <w:rFonts w:ascii="Arial" w:hAnsi="Arial" w:cs="Arial"/>
          <w:sz w:val="24"/>
          <w:szCs w:val="24"/>
        </w:rPr>
        <w:t xml:space="preserve">16-99 active and deferred members </w:t>
      </w:r>
      <w:r w:rsidRPr="00C4118A">
        <w:rPr>
          <w:rFonts w:ascii="Arial" w:hAnsi="Arial" w:cs="Arial"/>
          <w:sz w:val="24"/>
          <w:szCs w:val="24"/>
        </w:rPr>
        <w:t xml:space="preserve">are subject </w:t>
      </w:r>
      <w:r w:rsidR="00D0069D" w:rsidRPr="00C4118A">
        <w:rPr>
          <w:rFonts w:ascii="Arial" w:hAnsi="Arial" w:cs="Arial"/>
          <w:sz w:val="24"/>
          <w:szCs w:val="24"/>
        </w:rPr>
        <w:t xml:space="preserve">to </w:t>
      </w:r>
      <w:r w:rsidR="00ED0316">
        <w:rPr>
          <w:rFonts w:ascii="Arial" w:hAnsi="Arial" w:cs="Arial"/>
          <w:sz w:val="24"/>
          <w:szCs w:val="24"/>
        </w:rPr>
        <w:t>most</w:t>
      </w:r>
      <w:r w:rsidR="00D0069D" w:rsidRPr="00C4118A">
        <w:rPr>
          <w:rFonts w:ascii="Arial" w:hAnsi="Arial" w:cs="Arial"/>
          <w:sz w:val="24"/>
          <w:szCs w:val="24"/>
        </w:rPr>
        <w:t xml:space="preserve"> of </w:t>
      </w:r>
      <w:r w:rsidR="00ED0316">
        <w:rPr>
          <w:rFonts w:ascii="Arial" w:hAnsi="Arial" w:cs="Arial"/>
          <w:sz w:val="24"/>
          <w:szCs w:val="24"/>
        </w:rPr>
        <w:t xml:space="preserve">the </w:t>
      </w:r>
      <w:r w:rsidR="00D0069D" w:rsidRPr="00C4118A">
        <w:rPr>
          <w:rFonts w:ascii="Arial" w:hAnsi="Arial" w:cs="Arial"/>
          <w:sz w:val="24"/>
          <w:szCs w:val="24"/>
        </w:rPr>
        <w:t>DORA requirements</w:t>
      </w:r>
      <w:r w:rsidR="001928EC">
        <w:rPr>
          <w:rFonts w:ascii="Arial" w:hAnsi="Arial" w:cs="Arial"/>
          <w:sz w:val="24"/>
          <w:szCs w:val="24"/>
        </w:rPr>
        <w:t>.</w:t>
      </w:r>
      <w:r w:rsidR="00ED0316">
        <w:rPr>
          <w:rFonts w:ascii="Arial" w:hAnsi="Arial" w:cs="Arial"/>
          <w:sz w:val="24"/>
          <w:szCs w:val="24"/>
        </w:rPr>
        <w:t xml:space="preserve"> </w:t>
      </w:r>
      <w:r w:rsidR="006C4F9E">
        <w:rPr>
          <w:rFonts w:ascii="Arial" w:hAnsi="Arial" w:cs="Arial"/>
          <w:sz w:val="24"/>
          <w:szCs w:val="24"/>
        </w:rPr>
        <w:t>However,</w:t>
      </w:r>
      <w:r w:rsidR="00C4118A">
        <w:rPr>
          <w:rFonts w:ascii="Arial" w:hAnsi="Arial" w:cs="Arial"/>
          <w:sz w:val="24"/>
          <w:szCs w:val="24"/>
        </w:rPr>
        <w:t xml:space="preserve"> </w:t>
      </w:r>
      <w:r w:rsidR="00ED0316" w:rsidRPr="009403C0">
        <w:rPr>
          <w:rFonts w:ascii="Arial" w:hAnsi="Arial" w:cs="Arial"/>
          <w:sz w:val="24"/>
          <w:szCs w:val="24"/>
        </w:rPr>
        <w:t>a simplified version of the ICT risk management framework</w:t>
      </w:r>
      <w:r w:rsidR="00ED0316">
        <w:rPr>
          <w:rFonts w:ascii="Arial" w:hAnsi="Arial" w:cs="Arial"/>
          <w:sz w:val="24"/>
          <w:szCs w:val="24"/>
        </w:rPr>
        <w:t xml:space="preserve"> </w:t>
      </w:r>
      <w:r w:rsidR="00075404">
        <w:rPr>
          <w:rFonts w:ascii="Arial" w:hAnsi="Arial" w:cs="Arial"/>
          <w:sz w:val="24"/>
          <w:szCs w:val="24"/>
        </w:rPr>
        <w:t>applies for these schemes</w:t>
      </w:r>
      <w:r w:rsidR="001928EC">
        <w:rPr>
          <w:rFonts w:ascii="Arial" w:hAnsi="Arial" w:cs="Arial"/>
          <w:sz w:val="24"/>
          <w:szCs w:val="24"/>
        </w:rPr>
        <w:t>,</w:t>
      </w:r>
      <w:r w:rsidR="00075404">
        <w:rPr>
          <w:rFonts w:ascii="Arial" w:hAnsi="Arial" w:cs="Arial"/>
          <w:sz w:val="24"/>
          <w:szCs w:val="24"/>
        </w:rPr>
        <w:t xml:space="preserve"> </w:t>
      </w:r>
      <w:r w:rsidR="00C4118A">
        <w:rPr>
          <w:rFonts w:ascii="Arial" w:hAnsi="Arial" w:cs="Arial"/>
          <w:sz w:val="24"/>
          <w:szCs w:val="24"/>
        </w:rPr>
        <w:t>and</w:t>
      </w:r>
      <w:r w:rsidR="00075404">
        <w:rPr>
          <w:rFonts w:ascii="Arial" w:hAnsi="Arial" w:cs="Arial"/>
          <w:sz w:val="24"/>
          <w:szCs w:val="24"/>
        </w:rPr>
        <w:t xml:space="preserve"> they</w:t>
      </w:r>
      <w:r w:rsidR="00C4118A">
        <w:rPr>
          <w:rFonts w:ascii="Arial" w:hAnsi="Arial" w:cs="Arial"/>
          <w:sz w:val="24"/>
          <w:szCs w:val="24"/>
        </w:rPr>
        <w:t xml:space="preserve"> are</w:t>
      </w:r>
      <w:r w:rsidR="00ED0316">
        <w:rPr>
          <w:rFonts w:ascii="Arial" w:hAnsi="Arial" w:cs="Arial"/>
          <w:sz w:val="24"/>
          <w:szCs w:val="24"/>
        </w:rPr>
        <w:t xml:space="preserve"> </w:t>
      </w:r>
      <w:r w:rsidR="004F0BA2" w:rsidRPr="00C4118A">
        <w:rPr>
          <w:rFonts w:ascii="Arial" w:hAnsi="Arial" w:cs="Arial"/>
          <w:sz w:val="24"/>
          <w:szCs w:val="24"/>
        </w:rPr>
        <w:t xml:space="preserve">exempt from performing advanced testing of ICT systems and </w:t>
      </w:r>
      <w:r w:rsidR="00075404">
        <w:rPr>
          <w:rFonts w:ascii="Arial" w:hAnsi="Arial" w:cs="Arial"/>
          <w:sz w:val="24"/>
          <w:szCs w:val="24"/>
        </w:rPr>
        <w:t>from having to adopt</w:t>
      </w:r>
      <w:r w:rsidR="004F0BA2" w:rsidRPr="00C4118A">
        <w:rPr>
          <w:rFonts w:ascii="Arial" w:hAnsi="Arial" w:cs="Arial"/>
          <w:sz w:val="24"/>
          <w:szCs w:val="24"/>
        </w:rPr>
        <w:t xml:space="preserve"> a strategy on ICT third-party risk. </w:t>
      </w:r>
    </w:p>
    <w:p w14:paraId="6B27F7A1" w14:textId="33291319" w:rsidR="001419A0" w:rsidRPr="00ED0316" w:rsidRDefault="001419A0" w:rsidP="00B751AE">
      <w:pPr>
        <w:pStyle w:val="ListParagraph"/>
        <w:numPr>
          <w:ilvl w:val="0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ED0316">
        <w:rPr>
          <w:rFonts w:ascii="Arial" w:hAnsi="Arial" w:cs="Arial"/>
          <w:sz w:val="24"/>
          <w:szCs w:val="24"/>
        </w:rPr>
        <w:t xml:space="preserve">Schemes with 15 or less active and deferred members </w:t>
      </w:r>
      <w:r w:rsidRPr="00C4118A">
        <w:rPr>
          <w:rFonts w:ascii="Arial" w:hAnsi="Arial" w:cs="Arial"/>
          <w:sz w:val="24"/>
          <w:szCs w:val="24"/>
        </w:rPr>
        <w:t>are not subject</w:t>
      </w:r>
      <w:r w:rsidRPr="00ED0316">
        <w:rPr>
          <w:rFonts w:ascii="Arial" w:hAnsi="Arial" w:cs="Arial"/>
          <w:sz w:val="24"/>
          <w:szCs w:val="24"/>
        </w:rPr>
        <w:t xml:space="preserve"> to DORA.</w:t>
      </w:r>
    </w:p>
    <w:p w14:paraId="7AD4AB96" w14:textId="77777777" w:rsidR="00B751AE" w:rsidRDefault="00B751AE" w:rsidP="00B751AE">
      <w:pPr>
        <w:spacing w:after="0" w:line="276" w:lineRule="auto"/>
        <w:rPr>
          <w:rFonts w:ascii="Arial" w:hAnsi="Arial" w:cs="Arial"/>
          <w:b/>
          <w:bCs/>
          <w:sz w:val="28"/>
          <w:szCs w:val="28"/>
        </w:rPr>
      </w:pPr>
    </w:p>
    <w:p w14:paraId="6B27F55F" w14:textId="76DC41C9" w:rsidR="00F97365" w:rsidRPr="00B751AE" w:rsidRDefault="00F97365" w:rsidP="00B751AE">
      <w:pPr>
        <w:pStyle w:val="Heading3"/>
      </w:pPr>
      <w:r w:rsidRPr="00B751AE">
        <w:t>Overview of DORA requirements</w:t>
      </w:r>
    </w:p>
    <w:p w14:paraId="76FD23C9" w14:textId="2F03A657" w:rsidR="00F97365" w:rsidRPr="00ED0316" w:rsidRDefault="00F97365" w:rsidP="00B751AE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D0316">
        <w:rPr>
          <w:rFonts w:ascii="Arial" w:hAnsi="Arial" w:cs="Arial"/>
          <w:sz w:val="24"/>
          <w:szCs w:val="24"/>
        </w:rPr>
        <w:t xml:space="preserve">The </w:t>
      </w:r>
      <w:r w:rsidR="00492C82" w:rsidRPr="00ED0316">
        <w:rPr>
          <w:rFonts w:ascii="Arial" w:hAnsi="Arial" w:cs="Arial"/>
          <w:sz w:val="24"/>
          <w:szCs w:val="24"/>
        </w:rPr>
        <w:t xml:space="preserve">main </w:t>
      </w:r>
      <w:r w:rsidRPr="00ED0316">
        <w:rPr>
          <w:rFonts w:ascii="Arial" w:hAnsi="Arial" w:cs="Arial"/>
          <w:sz w:val="24"/>
          <w:szCs w:val="24"/>
        </w:rPr>
        <w:t xml:space="preserve">requirements for trustees </w:t>
      </w:r>
      <w:r w:rsidR="00075404">
        <w:rPr>
          <w:rFonts w:ascii="Arial" w:hAnsi="Arial" w:cs="Arial"/>
          <w:sz w:val="24"/>
          <w:szCs w:val="24"/>
        </w:rPr>
        <w:t xml:space="preserve">will </w:t>
      </w:r>
      <w:r w:rsidRPr="00ED0316">
        <w:rPr>
          <w:rFonts w:ascii="Arial" w:hAnsi="Arial" w:cs="Arial"/>
          <w:sz w:val="24"/>
          <w:szCs w:val="24"/>
        </w:rPr>
        <w:t>include:</w:t>
      </w:r>
    </w:p>
    <w:p w14:paraId="73CE5FF6" w14:textId="087A38CC" w:rsidR="00075404" w:rsidRDefault="00D92AB7" w:rsidP="00B751AE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ED0316">
        <w:rPr>
          <w:rFonts w:ascii="Arial" w:hAnsi="Arial" w:cs="Arial"/>
          <w:sz w:val="24"/>
          <w:szCs w:val="24"/>
        </w:rPr>
        <w:t>D</w:t>
      </w:r>
      <w:r w:rsidR="00F97365" w:rsidRPr="00ED0316">
        <w:rPr>
          <w:rFonts w:ascii="Arial" w:hAnsi="Arial" w:cs="Arial"/>
          <w:sz w:val="24"/>
          <w:szCs w:val="24"/>
        </w:rPr>
        <w:t>ocument</w:t>
      </w:r>
      <w:r w:rsidRPr="00ED0316">
        <w:rPr>
          <w:rFonts w:ascii="Arial" w:hAnsi="Arial" w:cs="Arial"/>
          <w:sz w:val="24"/>
          <w:szCs w:val="24"/>
        </w:rPr>
        <w:t>ing</w:t>
      </w:r>
      <w:r w:rsidR="00F97365" w:rsidRPr="00ED0316">
        <w:rPr>
          <w:rFonts w:ascii="Arial" w:hAnsi="Arial" w:cs="Arial"/>
          <w:sz w:val="24"/>
          <w:szCs w:val="24"/>
        </w:rPr>
        <w:t xml:space="preserve"> </w:t>
      </w:r>
      <w:r w:rsidR="001A5067" w:rsidRPr="00ED0316">
        <w:rPr>
          <w:rFonts w:ascii="Arial" w:hAnsi="Arial" w:cs="Arial"/>
          <w:sz w:val="24"/>
          <w:szCs w:val="24"/>
        </w:rPr>
        <w:t>and maintain</w:t>
      </w:r>
      <w:r w:rsidRPr="00ED0316">
        <w:rPr>
          <w:rFonts w:ascii="Arial" w:hAnsi="Arial" w:cs="Arial"/>
          <w:sz w:val="24"/>
          <w:szCs w:val="24"/>
        </w:rPr>
        <w:t>ing</w:t>
      </w:r>
      <w:r w:rsidR="001A5067" w:rsidRPr="00ED0316">
        <w:rPr>
          <w:rFonts w:ascii="Arial" w:hAnsi="Arial" w:cs="Arial"/>
          <w:sz w:val="24"/>
          <w:szCs w:val="24"/>
        </w:rPr>
        <w:t xml:space="preserve"> </w:t>
      </w:r>
      <w:r w:rsidR="00F97365" w:rsidRPr="00ED0316">
        <w:rPr>
          <w:rFonts w:ascii="Arial" w:hAnsi="Arial" w:cs="Arial"/>
          <w:sz w:val="24"/>
          <w:szCs w:val="24"/>
        </w:rPr>
        <w:t>a comprehensive ICT risk management framework</w:t>
      </w:r>
      <w:r w:rsidR="00953F93" w:rsidRPr="00ED0316">
        <w:rPr>
          <w:rFonts w:ascii="Arial" w:hAnsi="Arial" w:cs="Arial"/>
          <w:sz w:val="24"/>
          <w:szCs w:val="24"/>
        </w:rPr>
        <w:t xml:space="preserve"> to include ICT business continuity plans</w:t>
      </w:r>
      <w:r w:rsidR="00075404">
        <w:rPr>
          <w:rFonts w:ascii="Arial" w:hAnsi="Arial" w:cs="Arial"/>
          <w:sz w:val="24"/>
          <w:szCs w:val="24"/>
        </w:rPr>
        <w:t xml:space="preserve"> and other</w:t>
      </w:r>
      <w:r w:rsidR="00B075D4">
        <w:rPr>
          <w:rFonts w:ascii="Arial" w:hAnsi="Arial" w:cs="Arial"/>
          <w:sz w:val="24"/>
          <w:szCs w:val="24"/>
        </w:rPr>
        <w:t xml:space="preserve"> policies</w:t>
      </w:r>
      <w:r w:rsidR="00344D81">
        <w:rPr>
          <w:rFonts w:ascii="Arial" w:hAnsi="Arial" w:cs="Arial"/>
          <w:sz w:val="24"/>
          <w:szCs w:val="24"/>
        </w:rPr>
        <w:t xml:space="preserve"> and</w:t>
      </w:r>
      <w:r w:rsidR="00075404">
        <w:rPr>
          <w:rFonts w:ascii="Arial" w:hAnsi="Arial" w:cs="Arial"/>
          <w:sz w:val="24"/>
          <w:szCs w:val="24"/>
        </w:rPr>
        <w:t xml:space="preserve"> controls,</w:t>
      </w:r>
      <w:r w:rsidR="00F97365" w:rsidRPr="00ED0316">
        <w:rPr>
          <w:rFonts w:ascii="Arial" w:hAnsi="Arial" w:cs="Arial"/>
          <w:sz w:val="24"/>
          <w:szCs w:val="24"/>
        </w:rPr>
        <w:t xml:space="preserve"> as part of the</w:t>
      </w:r>
      <w:r w:rsidRPr="00ED0316">
        <w:rPr>
          <w:rFonts w:ascii="Arial" w:hAnsi="Arial" w:cs="Arial"/>
          <w:sz w:val="24"/>
          <w:szCs w:val="24"/>
        </w:rPr>
        <w:t xml:space="preserve"> </w:t>
      </w:r>
      <w:r w:rsidR="00F97365" w:rsidRPr="00ED0316">
        <w:rPr>
          <w:rFonts w:ascii="Arial" w:hAnsi="Arial" w:cs="Arial"/>
          <w:sz w:val="24"/>
          <w:szCs w:val="24"/>
        </w:rPr>
        <w:t>overall risk management system</w:t>
      </w:r>
      <w:r w:rsidR="00075404">
        <w:rPr>
          <w:rFonts w:ascii="Arial" w:hAnsi="Arial" w:cs="Arial"/>
          <w:sz w:val="24"/>
          <w:szCs w:val="24"/>
        </w:rPr>
        <w:t>.</w:t>
      </w:r>
      <w:r w:rsidR="00F97365" w:rsidRPr="00ED0316">
        <w:rPr>
          <w:rFonts w:ascii="Arial" w:hAnsi="Arial" w:cs="Arial"/>
          <w:sz w:val="24"/>
          <w:szCs w:val="24"/>
        </w:rPr>
        <w:t xml:space="preserve"> </w:t>
      </w:r>
    </w:p>
    <w:p w14:paraId="6852D3F9" w14:textId="7BCCBD59" w:rsidR="00F97365" w:rsidRPr="00ED0316" w:rsidRDefault="00075404" w:rsidP="00B751AE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I</w:t>
      </w:r>
      <w:r w:rsidR="00F97365" w:rsidRPr="00ED0316">
        <w:rPr>
          <w:rFonts w:ascii="Arial" w:hAnsi="Arial" w:cs="Arial"/>
          <w:sz w:val="24"/>
          <w:szCs w:val="24"/>
        </w:rPr>
        <w:t>dentify</w:t>
      </w:r>
      <w:r w:rsidR="00D92AB7" w:rsidRPr="00ED0316">
        <w:rPr>
          <w:rFonts w:ascii="Arial" w:hAnsi="Arial" w:cs="Arial"/>
          <w:sz w:val="24"/>
          <w:szCs w:val="24"/>
        </w:rPr>
        <w:t>ing</w:t>
      </w:r>
      <w:r w:rsidR="00F97365" w:rsidRPr="00ED0316">
        <w:rPr>
          <w:rFonts w:ascii="Arial" w:hAnsi="Arial" w:cs="Arial"/>
          <w:sz w:val="24"/>
          <w:szCs w:val="24"/>
        </w:rPr>
        <w:t xml:space="preserve"> all sources of ICT risk</w:t>
      </w:r>
      <w:r w:rsidR="00D92AB7" w:rsidRPr="00ED0316">
        <w:rPr>
          <w:rFonts w:ascii="Arial" w:hAnsi="Arial" w:cs="Arial"/>
          <w:sz w:val="24"/>
          <w:szCs w:val="24"/>
        </w:rPr>
        <w:t xml:space="preserve"> and</w:t>
      </w:r>
      <w:r w:rsidR="00AD2676" w:rsidRPr="00ED0316">
        <w:rPr>
          <w:rFonts w:ascii="Arial" w:hAnsi="Arial" w:cs="Arial"/>
          <w:sz w:val="24"/>
          <w:szCs w:val="24"/>
        </w:rPr>
        <w:t xml:space="preserve"> </w:t>
      </w:r>
      <w:r w:rsidR="00F97365" w:rsidRPr="00ED0316">
        <w:rPr>
          <w:rFonts w:ascii="Arial" w:hAnsi="Arial" w:cs="Arial"/>
          <w:sz w:val="24"/>
          <w:szCs w:val="24"/>
        </w:rPr>
        <w:t xml:space="preserve">cyber threats </w:t>
      </w:r>
      <w:r w:rsidR="009C3E9F" w:rsidRPr="00ED0316">
        <w:rPr>
          <w:rFonts w:ascii="Arial" w:hAnsi="Arial" w:cs="Arial"/>
          <w:sz w:val="24"/>
          <w:szCs w:val="24"/>
        </w:rPr>
        <w:t>on a continuous basis</w:t>
      </w:r>
      <w:r w:rsidR="003602F3" w:rsidRPr="00ED0316">
        <w:rPr>
          <w:rFonts w:ascii="Arial" w:hAnsi="Arial" w:cs="Arial"/>
          <w:sz w:val="24"/>
          <w:szCs w:val="24"/>
        </w:rPr>
        <w:t xml:space="preserve"> </w:t>
      </w:r>
      <w:r w:rsidR="00700220" w:rsidRPr="00ED0316">
        <w:rPr>
          <w:rFonts w:ascii="Arial" w:hAnsi="Arial" w:cs="Arial"/>
          <w:sz w:val="24"/>
          <w:szCs w:val="24"/>
        </w:rPr>
        <w:t>together with</w:t>
      </w:r>
      <w:r w:rsidR="00D92AB7" w:rsidRPr="00ED0316">
        <w:rPr>
          <w:rFonts w:ascii="Arial" w:hAnsi="Arial" w:cs="Arial"/>
          <w:sz w:val="24"/>
          <w:szCs w:val="24"/>
        </w:rPr>
        <w:t xml:space="preserve"> ongoing</w:t>
      </w:r>
      <w:r w:rsidR="003602F3" w:rsidRPr="00ED0316">
        <w:rPr>
          <w:rFonts w:ascii="Arial" w:hAnsi="Arial" w:cs="Arial"/>
          <w:sz w:val="24"/>
          <w:szCs w:val="24"/>
        </w:rPr>
        <w:t xml:space="preserve"> monitoring </w:t>
      </w:r>
      <w:r w:rsidR="00700220" w:rsidRPr="00ED0316">
        <w:rPr>
          <w:rFonts w:ascii="Arial" w:hAnsi="Arial" w:cs="Arial"/>
          <w:sz w:val="24"/>
          <w:szCs w:val="24"/>
        </w:rPr>
        <w:t xml:space="preserve">of </w:t>
      </w:r>
      <w:r w:rsidR="003602F3" w:rsidRPr="00ED0316">
        <w:rPr>
          <w:rFonts w:ascii="Arial" w:hAnsi="Arial" w:cs="Arial"/>
          <w:sz w:val="24"/>
          <w:szCs w:val="24"/>
        </w:rPr>
        <w:t>the security and functioning of ICT systems</w:t>
      </w:r>
      <w:r>
        <w:rPr>
          <w:rFonts w:ascii="Arial" w:hAnsi="Arial" w:cs="Arial"/>
          <w:sz w:val="24"/>
          <w:szCs w:val="24"/>
        </w:rPr>
        <w:t xml:space="preserve"> relied on</w:t>
      </w:r>
      <w:r w:rsidR="00312848" w:rsidRPr="00ED0316">
        <w:rPr>
          <w:rFonts w:ascii="Arial" w:hAnsi="Arial" w:cs="Arial"/>
          <w:sz w:val="24"/>
          <w:szCs w:val="24"/>
        </w:rPr>
        <w:t>.</w:t>
      </w:r>
    </w:p>
    <w:p w14:paraId="45BF10AB" w14:textId="1D160448" w:rsidR="00D92AB7" w:rsidRPr="00ED0316" w:rsidRDefault="00D92AB7" w:rsidP="00B751AE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ED0316">
        <w:rPr>
          <w:rFonts w:ascii="Arial" w:hAnsi="Arial" w:cs="Arial"/>
          <w:sz w:val="24"/>
          <w:szCs w:val="24"/>
        </w:rPr>
        <w:t>Effective</w:t>
      </w:r>
      <w:r w:rsidR="00F97365" w:rsidRPr="00ED0316">
        <w:rPr>
          <w:rFonts w:ascii="Arial" w:hAnsi="Arial" w:cs="Arial"/>
          <w:sz w:val="24"/>
          <w:szCs w:val="24"/>
        </w:rPr>
        <w:t xml:space="preserve"> manag</w:t>
      </w:r>
      <w:r w:rsidR="001A5067" w:rsidRPr="00ED0316">
        <w:rPr>
          <w:rFonts w:ascii="Arial" w:hAnsi="Arial" w:cs="Arial"/>
          <w:sz w:val="24"/>
          <w:szCs w:val="24"/>
        </w:rPr>
        <w:t>e</w:t>
      </w:r>
      <w:r w:rsidRPr="00ED0316">
        <w:rPr>
          <w:rFonts w:ascii="Arial" w:hAnsi="Arial" w:cs="Arial"/>
          <w:sz w:val="24"/>
          <w:szCs w:val="24"/>
        </w:rPr>
        <w:t>ment of</w:t>
      </w:r>
      <w:r w:rsidR="00F97365" w:rsidRPr="00ED0316">
        <w:rPr>
          <w:rFonts w:ascii="Arial" w:hAnsi="Arial" w:cs="Arial"/>
          <w:sz w:val="24"/>
          <w:szCs w:val="24"/>
        </w:rPr>
        <w:t xml:space="preserve"> ICT third-party risks ensur</w:t>
      </w:r>
      <w:r w:rsidR="001A5067" w:rsidRPr="00ED0316">
        <w:rPr>
          <w:rFonts w:ascii="Arial" w:hAnsi="Arial" w:cs="Arial"/>
          <w:sz w:val="24"/>
          <w:szCs w:val="24"/>
        </w:rPr>
        <w:t>ing</w:t>
      </w:r>
      <w:r w:rsidR="00F97365" w:rsidRPr="00ED0316">
        <w:rPr>
          <w:rFonts w:ascii="Arial" w:hAnsi="Arial" w:cs="Arial"/>
          <w:sz w:val="24"/>
          <w:szCs w:val="24"/>
        </w:rPr>
        <w:t xml:space="preserve"> that key contractual provisions are in place</w:t>
      </w:r>
      <w:r w:rsidR="001A5067" w:rsidRPr="00ED0316">
        <w:rPr>
          <w:rFonts w:ascii="Arial" w:hAnsi="Arial" w:cs="Arial"/>
          <w:sz w:val="24"/>
          <w:szCs w:val="24"/>
        </w:rPr>
        <w:t xml:space="preserve"> </w:t>
      </w:r>
      <w:r w:rsidR="003602F3" w:rsidRPr="00ED0316">
        <w:rPr>
          <w:rFonts w:ascii="Arial" w:hAnsi="Arial" w:cs="Arial"/>
          <w:sz w:val="24"/>
          <w:szCs w:val="24"/>
        </w:rPr>
        <w:t>with service providers</w:t>
      </w:r>
      <w:r w:rsidR="00506760" w:rsidRPr="00ED0316">
        <w:rPr>
          <w:rFonts w:ascii="Arial" w:hAnsi="Arial" w:cs="Arial"/>
          <w:sz w:val="24"/>
          <w:szCs w:val="24"/>
        </w:rPr>
        <w:t xml:space="preserve"> as set out in article 30</w:t>
      </w:r>
      <w:r w:rsidR="00ED0316">
        <w:rPr>
          <w:rFonts w:ascii="Arial" w:hAnsi="Arial" w:cs="Arial"/>
          <w:sz w:val="24"/>
          <w:szCs w:val="24"/>
        </w:rPr>
        <w:t xml:space="preserve"> of</w:t>
      </w:r>
      <w:r w:rsidR="006C4F9E">
        <w:rPr>
          <w:rFonts w:ascii="Arial" w:hAnsi="Arial" w:cs="Arial"/>
          <w:sz w:val="24"/>
          <w:szCs w:val="24"/>
        </w:rPr>
        <w:t xml:space="preserve"> DORA</w:t>
      </w:r>
      <w:r w:rsidR="00700220" w:rsidRPr="00ED0316">
        <w:rPr>
          <w:rFonts w:ascii="Arial" w:hAnsi="Arial" w:cs="Arial"/>
          <w:sz w:val="24"/>
          <w:szCs w:val="24"/>
        </w:rPr>
        <w:t>.</w:t>
      </w:r>
    </w:p>
    <w:p w14:paraId="6C504BC7" w14:textId="516161C5" w:rsidR="00F97365" w:rsidRPr="00ED0316" w:rsidRDefault="00D92AB7" w:rsidP="00B751AE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ED0316">
        <w:rPr>
          <w:rFonts w:ascii="Arial" w:hAnsi="Arial" w:cs="Arial"/>
          <w:sz w:val="24"/>
          <w:szCs w:val="24"/>
        </w:rPr>
        <w:t>M</w:t>
      </w:r>
      <w:r w:rsidR="001A5067" w:rsidRPr="00ED0316">
        <w:rPr>
          <w:rFonts w:ascii="Arial" w:hAnsi="Arial" w:cs="Arial"/>
          <w:sz w:val="24"/>
          <w:szCs w:val="24"/>
        </w:rPr>
        <w:t>aintain</w:t>
      </w:r>
      <w:r w:rsidRPr="00ED0316">
        <w:rPr>
          <w:rFonts w:ascii="Arial" w:hAnsi="Arial" w:cs="Arial"/>
          <w:sz w:val="24"/>
          <w:szCs w:val="24"/>
        </w:rPr>
        <w:t xml:space="preserve">ing </w:t>
      </w:r>
      <w:r w:rsidR="00F97365" w:rsidRPr="00ED0316">
        <w:rPr>
          <w:rFonts w:ascii="Arial" w:hAnsi="Arial" w:cs="Arial"/>
          <w:sz w:val="24"/>
          <w:szCs w:val="24"/>
        </w:rPr>
        <w:t>a register of information on all contractual arrangements on the use of ICT services provided by third-party providers.</w:t>
      </w:r>
      <w:r w:rsidR="00F97365" w:rsidRPr="00ED031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14:paraId="5F77F685" w14:textId="5189C101" w:rsidR="00F97365" w:rsidRPr="00ED0316" w:rsidRDefault="00D92AB7" w:rsidP="00B751AE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ED0316">
        <w:rPr>
          <w:rFonts w:ascii="Arial" w:hAnsi="Arial" w:cs="Arial"/>
          <w:sz w:val="24"/>
          <w:szCs w:val="24"/>
        </w:rPr>
        <w:t>M</w:t>
      </w:r>
      <w:r w:rsidR="00F97365" w:rsidRPr="00ED0316">
        <w:rPr>
          <w:rFonts w:ascii="Arial" w:hAnsi="Arial" w:cs="Arial"/>
          <w:sz w:val="24"/>
          <w:szCs w:val="24"/>
        </w:rPr>
        <w:t>anag</w:t>
      </w:r>
      <w:r w:rsidRPr="00ED0316">
        <w:rPr>
          <w:rFonts w:ascii="Arial" w:hAnsi="Arial" w:cs="Arial"/>
          <w:sz w:val="24"/>
          <w:szCs w:val="24"/>
        </w:rPr>
        <w:t>ing</w:t>
      </w:r>
      <w:r w:rsidR="00F97365" w:rsidRPr="00ED0316">
        <w:rPr>
          <w:rFonts w:ascii="Arial" w:hAnsi="Arial" w:cs="Arial"/>
          <w:sz w:val="24"/>
          <w:szCs w:val="24"/>
        </w:rPr>
        <w:t xml:space="preserve"> and report</w:t>
      </w:r>
      <w:r w:rsidRPr="00ED0316">
        <w:rPr>
          <w:rFonts w:ascii="Arial" w:hAnsi="Arial" w:cs="Arial"/>
          <w:sz w:val="24"/>
          <w:szCs w:val="24"/>
        </w:rPr>
        <w:t>ing</w:t>
      </w:r>
      <w:r w:rsidR="00F97365" w:rsidRPr="00ED0316">
        <w:rPr>
          <w:rFonts w:ascii="Arial" w:hAnsi="Arial" w:cs="Arial"/>
          <w:sz w:val="24"/>
          <w:szCs w:val="24"/>
        </w:rPr>
        <w:t xml:space="preserve"> major ICT related incidents</w:t>
      </w:r>
      <w:r w:rsidR="001A5067" w:rsidRPr="00ED0316">
        <w:rPr>
          <w:rFonts w:ascii="Arial" w:hAnsi="Arial" w:cs="Arial"/>
          <w:sz w:val="24"/>
          <w:szCs w:val="24"/>
        </w:rPr>
        <w:t xml:space="preserve"> to the Pensions Authority</w:t>
      </w:r>
      <w:r w:rsidRPr="00ED0316">
        <w:rPr>
          <w:rFonts w:ascii="Arial" w:hAnsi="Arial" w:cs="Arial"/>
          <w:sz w:val="24"/>
          <w:szCs w:val="24"/>
        </w:rPr>
        <w:t xml:space="preserve"> and keeping a record of significant cyber threats.</w:t>
      </w:r>
    </w:p>
    <w:p w14:paraId="164A1AAA" w14:textId="305D39CF" w:rsidR="00A309D6" w:rsidRPr="00ED0316" w:rsidRDefault="00D92AB7" w:rsidP="00B751AE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ED0316">
        <w:rPr>
          <w:rFonts w:ascii="Arial" w:hAnsi="Arial" w:cs="Arial"/>
          <w:sz w:val="24"/>
          <w:szCs w:val="24"/>
        </w:rPr>
        <w:t xml:space="preserve">Testing </w:t>
      </w:r>
      <w:r w:rsidR="00A309D6" w:rsidRPr="00ED0316">
        <w:rPr>
          <w:rFonts w:ascii="Arial" w:hAnsi="Arial" w:cs="Arial"/>
          <w:sz w:val="24"/>
          <w:szCs w:val="24"/>
        </w:rPr>
        <w:t xml:space="preserve">ICT systems </w:t>
      </w:r>
      <w:r w:rsidR="007B023D" w:rsidRPr="00ED0316">
        <w:rPr>
          <w:rFonts w:ascii="Arial" w:hAnsi="Arial" w:cs="Arial"/>
          <w:sz w:val="24"/>
          <w:szCs w:val="24"/>
        </w:rPr>
        <w:t>supporting</w:t>
      </w:r>
      <w:r w:rsidR="00A309D6" w:rsidRPr="00ED0316">
        <w:rPr>
          <w:rFonts w:ascii="Arial" w:hAnsi="Arial" w:cs="Arial"/>
          <w:sz w:val="24"/>
          <w:szCs w:val="24"/>
        </w:rPr>
        <w:t xml:space="preserve"> </w:t>
      </w:r>
      <w:r w:rsidR="007B023D" w:rsidRPr="00ED0316">
        <w:rPr>
          <w:rFonts w:ascii="Arial" w:hAnsi="Arial" w:cs="Arial"/>
          <w:sz w:val="24"/>
          <w:szCs w:val="24"/>
        </w:rPr>
        <w:t>critical</w:t>
      </w:r>
      <w:r w:rsidR="00A309D6" w:rsidRPr="00ED0316">
        <w:rPr>
          <w:rFonts w:ascii="Arial" w:hAnsi="Arial" w:cs="Arial"/>
          <w:sz w:val="24"/>
          <w:szCs w:val="24"/>
        </w:rPr>
        <w:t xml:space="preserve"> or important functions</w:t>
      </w:r>
      <w:r w:rsidR="007B023D" w:rsidRPr="00ED0316">
        <w:rPr>
          <w:rFonts w:ascii="Arial" w:hAnsi="Arial" w:cs="Arial"/>
          <w:sz w:val="24"/>
          <w:szCs w:val="24"/>
        </w:rPr>
        <w:t xml:space="preserve"> </w:t>
      </w:r>
      <w:r w:rsidR="00A309D6" w:rsidRPr="00ED0316">
        <w:rPr>
          <w:rFonts w:ascii="Arial" w:hAnsi="Arial" w:cs="Arial"/>
          <w:sz w:val="24"/>
          <w:szCs w:val="24"/>
        </w:rPr>
        <w:t>at least yearly</w:t>
      </w:r>
      <w:r w:rsidR="00AD78BC">
        <w:rPr>
          <w:rFonts w:ascii="Arial" w:hAnsi="Arial" w:cs="Arial"/>
          <w:sz w:val="24"/>
          <w:szCs w:val="24"/>
        </w:rPr>
        <w:t>.</w:t>
      </w:r>
    </w:p>
    <w:p w14:paraId="404C76D9" w14:textId="77777777" w:rsidR="00B751AE" w:rsidRDefault="00B751AE" w:rsidP="00B751AE">
      <w:pPr>
        <w:spacing w:after="0" w:line="276" w:lineRule="auto"/>
        <w:rPr>
          <w:rFonts w:ascii="Arial" w:hAnsi="Arial" w:cs="Arial"/>
          <w:b/>
          <w:bCs/>
          <w:sz w:val="28"/>
          <w:szCs w:val="28"/>
        </w:rPr>
      </w:pPr>
    </w:p>
    <w:p w14:paraId="05E10018" w14:textId="4BC7852A" w:rsidR="00AD2676" w:rsidRPr="00B751AE" w:rsidRDefault="007B7C06" w:rsidP="00B751AE">
      <w:pPr>
        <w:pStyle w:val="Heading3"/>
      </w:pPr>
      <w:r w:rsidRPr="00B751AE">
        <w:t>Links to legislation</w:t>
      </w:r>
    </w:p>
    <w:p w14:paraId="69394064" w14:textId="007F96A0" w:rsidR="00492C82" w:rsidRDefault="007B7C06" w:rsidP="00B751AE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D0316">
        <w:rPr>
          <w:rFonts w:ascii="Arial" w:hAnsi="Arial" w:cs="Arial"/>
          <w:sz w:val="24"/>
          <w:szCs w:val="24"/>
        </w:rPr>
        <w:t xml:space="preserve">The </w:t>
      </w:r>
      <w:r w:rsidR="00D92AB7" w:rsidRPr="00ED0316">
        <w:rPr>
          <w:rFonts w:ascii="Arial" w:hAnsi="Arial" w:cs="Arial"/>
          <w:sz w:val="24"/>
          <w:szCs w:val="24"/>
        </w:rPr>
        <w:t>full range of DORA requirements</w:t>
      </w:r>
      <w:r w:rsidR="004F0BA2" w:rsidRPr="00ED0316">
        <w:rPr>
          <w:rFonts w:ascii="Arial" w:hAnsi="Arial" w:cs="Arial"/>
          <w:sz w:val="24"/>
          <w:szCs w:val="24"/>
        </w:rPr>
        <w:t xml:space="preserve"> </w:t>
      </w:r>
      <w:r w:rsidR="00D92AB7" w:rsidRPr="00ED0316">
        <w:rPr>
          <w:rFonts w:ascii="Arial" w:hAnsi="Arial" w:cs="Arial"/>
          <w:sz w:val="24"/>
          <w:szCs w:val="24"/>
        </w:rPr>
        <w:t xml:space="preserve">is set out in the </w:t>
      </w:r>
      <w:hyperlink r:id="rId9" w:history="1">
        <w:r w:rsidR="004F0BA2" w:rsidRPr="00344D81">
          <w:rPr>
            <w:rStyle w:val="Hyperlink"/>
            <w:rFonts w:ascii="Arial" w:hAnsi="Arial" w:cs="Arial"/>
            <w:sz w:val="24"/>
            <w:szCs w:val="24"/>
          </w:rPr>
          <w:t xml:space="preserve">DORA </w:t>
        </w:r>
        <w:r w:rsidR="00D92AB7" w:rsidRPr="00344D81">
          <w:rPr>
            <w:rStyle w:val="Hyperlink"/>
            <w:rFonts w:ascii="Arial" w:hAnsi="Arial" w:cs="Arial"/>
            <w:sz w:val="24"/>
            <w:szCs w:val="24"/>
          </w:rPr>
          <w:t>regulation</w:t>
        </w:r>
      </w:hyperlink>
      <w:r w:rsidR="00D92AB7" w:rsidRPr="00ED0316">
        <w:rPr>
          <w:rFonts w:ascii="Arial" w:hAnsi="Arial" w:cs="Arial"/>
          <w:sz w:val="24"/>
          <w:szCs w:val="24"/>
        </w:rPr>
        <w:t xml:space="preserve"> and</w:t>
      </w:r>
      <w:r w:rsidR="005D723F">
        <w:rPr>
          <w:rFonts w:ascii="Arial" w:hAnsi="Arial" w:cs="Arial"/>
          <w:sz w:val="24"/>
          <w:szCs w:val="24"/>
        </w:rPr>
        <w:t xml:space="preserve"> the accompanying</w:t>
      </w:r>
      <w:r w:rsidR="00D92AB7" w:rsidRPr="00ED0316">
        <w:rPr>
          <w:rFonts w:ascii="Arial" w:hAnsi="Arial" w:cs="Arial"/>
          <w:sz w:val="24"/>
          <w:szCs w:val="24"/>
        </w:rPr>
        <w:t xml:space="preserve"> technical standards</w:t>
      </w:r>
      <w:r w:rsidR="00C4118A">
        <w:rPr>
          <w:rFonts w:ascii="Arial" w:hAnsi="Arial" w:cs="Arial"/>
          <w:sz w:val="24"/>
          <w:szCs w:val="24"/>
        </w:rPr>
        <w:t xml:space="preserve"> which </w:t>
      </w:r>
      <w:r w:rsidR="005D723F">
        <w:rPr>
          <w:rFonts w:ascii="Arial" w:hAnsi="Arial" w:cs="Arial"/>
          <w:sz w:val="24"/>
          <w:szCs w:val="24"/>
        </w:rPr>
        <w:t>provide</w:t>
      </w:r>
      <w:r w:rsidR="00C4118A">
        <w:rPr>
          <w:rFonts w:ascii="Arial" w:hAnsi="Arial" w:cs="Arial"/>
          <w:sz w:val="24"/>
          <w:szCs w:val="24"/>
        </w:rPr>
        <w:t xml:space="preserve"> </w:t>
      </w:r>
      <w:r w:rsidR="005D723F">
        <w:rPr>
          <w:rFonts w:ascii="Arial" w:hAnsi="Arial" w:cs="Arial"/>
          <w:sz w:val="24"/>
          <w:szCs w:val="24"/>
        </w:rPr>
        <w:t xml:space="preserve">templates and further details about the requirements. </w:t>
      </w:r>
      <w:r w:rsidR="00344D81">
        <w:rPr>
          <w:rFonts w:ascii="Arial" w:hAnsi="Arial" w:cs="Arial"/>
          <w:sz w:val="24"/>
          <w:szCs w:val="24"/>
        </w:rPr>
        <w:t>Further information is</w:t>
      </w:r>
      <w:r w:rsidR="00D92AB7" w:rsidRPr="00ED0316">
        <w:rPr>
          <w:rFonts w:ascii="Arial" w:hAnsi="Arial" w:cs="Arial"/>
          <w:sz w:val="24"/>
          <w:szCs w:val="24"/>
        </w:rPr>
        <w:t xml:space="preserve"> </w:t>
      </w:r>
      <w:r w:rsidR="00492C82" w:rsidRPr="00ED0316">
        <w:rPr>
          <w:rFonts w:ascii="Arial" w:hAnsi="Arial" w:cs="Arial"/>
          <w:sz w:val="24"/>
          <w:szCs w:val="24"/>
        </w:rPr>
        <w:t>available</w:t>
      </w:r>
      <w:r w:rsidR="00F90111">
        <w:rPr>
          <w:rFonts w:ascii="Arial" w:hAnsi="Arial" w:cs="Arial"/>
          <w:sz w:val="24"/>
          <w:szCs w:val="24"/>
        </w:rPr>
        <w:t xml:space="preserve"> at the links below:</w:t>
      </w:r>
    </w:p>
    <w:bookmarkStart w:id="1" w:name="_Hlk172716928"/>
    <w:p w14:paraId="502DE40E" w14:textId="1BD86376" w:rsidR="00F90111" w:rsidRPr="00125603" w:rsidRDefault="00B448F1" w:rsidP="00B751AE">
      <w:pPr>
        <w:spacing w:after="0" w:line="276" w:lineRule="auto"/>
        <w:rPr>
          <w:rStyle w:val="Hyperlink"/>
          <w:rFonts w:ascii="Arial" w:hAnsi="Arial" w:cs="Arial"/>
          <w:sz w:val="24"/>
          <w:szCs w:val="24"/>
        </w:rPr>
      </w:pPr>
      <w:r w:rsidRPr="00125603">
        <w:rPr>
          <w:rFonts w:ascii="Arial" w:hAnsi="Arial" w:cs="Arial"/>
          <w:sz w:val="24"/>
          <w:szCs w:val="24"/>
        </w:rPr>
        <w:fldChar w:fldCharType="begin"/>
      </w:r>
      <w:r w:rsidRPr="00125603">
        <w:rPr>
          <w:rFonts w:ascii="Arial" w:hAnsi="Arial" w:cs="Arial"/>
          <w:sz w:val="24"/>
          <w:szCs w:val="24"/>
        </w:rPr>
        <w:instrText>HYPERLINK "https://www.eiopa.europa.eu/publications/set-rules-under-dora-ict-and-third-party-risk-management-and-incident-classification"</w:instrText>
      </w:r>
      <w:r w:rsidRPr="00125603">
        <w:rPr>
          <w:rFonts w:ascii="Arial" w:hAnsi="Arial" w:cs="Arial"/>
          <w:sz w:val="24"/>
          <w:szCs w:val="24"/>
        </w:rPr>
      </w:r>
      <w:r w:rsidRPr="00125603">
        <w:rPr>
          <w:rFonts w:ascii="Arial" w:hAnsi="Arial" w:cs="Arial"/>
          <w:sz w:val="24"/>
          <w:szCs w:val="24"/>
        </w:rPr>
        <w:fldChar w:fldCharType="separate"/>
      </w:r>
      <w:r w:rsidR="00F90111" w:rsidRPr="00125603">
        <w:rPr>
          <w:rStyle w:val="Hyperlink"/>
          <w:rFonts w:ascii="Arial" w:hAnsi="Arial" w:cs="Arial"/>
          <w:sz w:val="24"/>
          <w:szCs w:val="24"/>
        </w:rPr>
        <w:t>ICT and third-party risk management and incident classification - European Union (europa.eu)</w:t>
      </w:r>
    </w:p>
    <w:p w14:paraId="1E0472BB" w14:textId="2B53E41E" w:rsidR="007B7C06" w:rsidRPr="00125603" w:rsidRDefault="00B448F1" w:rsidP="00B751AE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25603">
        <w:rPr>
          <w:rFonts w:ascii="Arial" w:hAnsi="Arial" w:cs="Arial"/>
          <w:sz w:val="24"/>
          <w:szCs w:val="24"/>
        </w:rPr>
        <w:fldChar w:fldCharType="end"/>
      </w:r>
      <w:bookmarkEnd w:id="1"/>
      <w:r w:rsidRPr="00125603">
        <w:rPr>
          <w:rFonts w:ascii="Arial" w:hAnsi="Arial" w:cs="Arial"/>
          <w:sz w:val="24"/>
          <w:szCs w:val="24"/>
        </w:rPr>
        <w:fldChar w:fldCharType="begin"/>
      </w:r>
      <w:r w:rsidRPr="00125603">
        <w:rPr>
          <w:rFonts w:ascii="Arial" w:hAnsi="Arial" w:cs="Arial"/>
          <w:sz w:val="24"/>
          <w:szCs w:val="24"/>
        </w:rPr>
        <w:instrText>HYPERLINK "https://www.esma.europa.eu/press-news/esma-news/esas-published-second-batch-policy-products-under-dora"</w:instrText>
      </w:r>
      <w:r w:rsidRPr="00125603">
        <w:rPr>
          <w:rFonts w:ascii="Arial" w:hAnsi="Arial" w:cs="Arial"/>
          <w:sz w:val="24"/>
          <w:szCs w:val="24"/>
        </w:rPr>
      </w:r>
      <w:r w:rsidRPr="00125603">
        <w:rPr>
          <w:rFonts w:ascii="Arial" w:hAnsi="Arial" w:cs="Arial"/>
          <w:sz w:val="24"/>
          <w:szCs w:val="24"/>
        </w:rPr>
        <w:fldChar w:fldCharType="separate"/>
      </w:r>
      <w:r w:rsidR="00125603">
        <w:rPr>
          <w:rStyle w:val="Hyperlink"/>
          <w:rFonts w:ascii="Arial" w:hAnsi="Arial" w:cs="Arial"/>
          <w:sz w:val="24"/>
          <w:szCs w:val="24"/>
        </w:rPr>
        <w:t>S</w:t>
      </w:r>
      <w:r w:rsidRPr="00125603">
        <w:rPr>
          <w:rStyle w:val="Hyperlink"/>
          <w:rFonts w:ascii="Arial" w:hAnsi="Arial" w:cs="Arial"/>
          <w:sz w:val="24"/>
          <w:szCs w:val="24"/>
        </w:rPr>
        <w:t>econd batch of policy products under DORA (europa.eu)</w:t>
      </w:r>
      <w:r w:rsidRPr="00125603">
        <w:rPr>
          <w:rFonts w:ascii="Arial" w:hAnsi="Arial" w:cs="Arial"/>
          <w:sz w:val="24"/>
          <w:szCs w:val="24"/>
        </w:rPr>
        <w:fldChar w:fldCharType="end"/>
      </w:r>
    </w:p>
    <w:p w14:paraId="67B8C048" w14:textId="3C8071F5" w:rsidR="00492C82" w:rsidRPr="00F55C60" w:rsidRDefault="00492C82" w:rsidP="00492C82">
      <w:pPr>
        <w:jc w:val="both"/>
        <w:rPr>
          <w:rFonts w:ascii="Arial" w:hAnsi="Arial" w:cs="Arial"/>
          <w:sz w:val="24"/>
          <w:szCs w:val="24"/>
        </w:rPr>
      </w:pPr>
    </w:p>
    <w:sectPr w:rsidR="00492C82" w:rsidRPr="00F55C60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020BC" w14:textId="77777777" w:rsidR="004A7758" w:rsidRDefault="004A7758" w:rsidP="004A7758">
      <w:pPr>
        <w:spacing w:after="0" w:line="240" w:lineRule="auto"/>
      </w:pPr>
      <w:r>
        <w:separator/>
      </w:r>
    </w:p>
  </w:endnote>
  <w:endnote w:type="continuationSeparator" w:id="0">
    <w:p w14:paraId="3D166373" w14:textId="77777777" w:rsidR="004A7758" w:rsidRDefault="004A7758" w:rsidP="004A7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70305538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2E57617" w14:textId="5B42DEE7" w:rsidR="004A7758" w:rsidRPr="004A7758" w:rsidRDefault="004A7758" w:rsidP="004A7758">
            <w:pPr>
              <w:pStyle w:val="Foot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758">
              <w:rPr>
                <w:rFonts w:ascii="Arial" w:hAnsi="Arial" w:cs="Arial"/>
                <w:sz w:val="20"/>
                <w:szCs w:val="20"/>
                <w:lang w:val="en-GB"/>
              </w:rPr>
              <w:t xml:space="preserve">Page </w:t>
            </w:r>
            <w:r w:rsidRPr="004A775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4A7758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4A775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4A775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  <w:r w:rsidRPr="004A775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4A7758">
              <w:rPr>
                <w:rFonts w:ascii="Arial" w:hAnsi="Arial" w:cs="Arial"/>
                <w:sz w:val="20"/>
                <w:szCs w:val="20"/>
                <w:lang w:val="en-GB"/>
              </w:rPr>
              <w:t xml:space="preserve"> of </w:t>
            </w:r>
            <w:r w:rsidRPr="004A775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4A7758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4A775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4A775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  <w:r w:rsidRPr="004A775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E216C" w14:textId="77777777" w:rsidR="004A7758" w:rsidRDefault="004A7758" w:rsidP="004A7758">
      <w:pPr>
        <w:spacing w:after="0" w:line="240" w:lineRule="auto"/>
      </w:pPr>
      <w:r>
        <w:separator/>
      </w:r>
    </w:p>
  </w:footnote>
  <w:footnote w:type="continuationSeparator" w:id="0">
    <w:p w14:paraId="75D347D9" w14:textId="77777777" w:rsidR="004A7758" w:rsidRDefault="004A7758" w:rsidP="004A7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6AAA1" w14:textId="632EB718" w:rsidR="004A7758" w:rsidRDefault="004A7758" w:rsidP="004A7758">
    <w:pPr>
      <w:pStyle w:val="Header"/>
      <w:jc w:val="center"/>
    </w:pPr>
    <w:r>
      <w:rPr>
        <w:noProof/>
        <w:lang w:val="en-GB" w:eastAsia="en-GB"/>
      </w:rPr>
      <w:drawing>
        <wp:inline distT="0" distB="0" distL="0" distR="0" wp14:anchorId="1232FC2C" wp14:editId="442D89F7">
          <wp:extent cx="1619250" cy="542925"/>
          <wp:effectExtent l="0" t="0" r="0" b="9525"/>
          <wp:docPr id="15" name="Picture 15" descr="A close-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 descr="A close-up of a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13ADD2" w14:textId="77777777" w:rsidR="004A7758" w:rsidRDefault="004A77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23040"/>
    <w:multiLevelType w:val="hybridMultilevel"/>
    <w:tmpl w:val="73A6248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706147"/>
    <w:multiLevelType w:val="hybridMultilevel"/>
    <w:tmpl w:val="74C2AC1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9127628">
    <w:abstractNumId w:val="0"/>
  </w:num>
  <w:num w:numId="2" w16cid:durableId="11686411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3C6"/>
    <w:rsid w:val="00001064"/>
    <w:rsid w:val="00035468"/>
    <w:rsid w:val="000619B2"/>
    <w:rsid w:val="00075404"/>
    <w:rsid w:val="00103D13"/>
    <w:rsid w:val="001254CA"/>
    <w:rsid w:val="00125603"/>
    <w:rsid w:val="00136FEB"/>
    <w:rsid w:val="00137AA8"/>
    <w:rsid w:val="001419A0"/>
    <w:rsid w:val="001554FC"/>
    <w:rsid w:val="00165C24"/>
    <w:rsid w:val="001928EC"/>
    <w:rsid w:val="001950C9"/>
    <w:rsid w:val="001A5067"/>
    <w:rsid w:val="00201EDA"/>
    <w:rsid w:val="00210973"/>
    <w:rsid w:val="00260E8A"/>
    <w:rsid w:val="002C37F6"/>
    <w:rsid w:val="002D24C7"/>
    <w:rsid w:val="002D5BC0"/>
    <w:rsid w:val="002E298D"/>
    <w:rsid w:val="00312848"/>
    <w:rsid w:val="00344D81"/>
    <w:rsid w:val="00350B5D"/>
    <w:rsid w:val="0035418C"/>
    <w:rsid w:val="003602F3"/>
    <w:rsid w:val="003A663D"/>
    <w:rsid w:val="003C2373"/>
    <w:rsid w:val="003C5C86"/>
    <w:rsid w:val="003D215F"/>
    <w:rsid w:val="003F63C6"/>
    <w:rsid w:val="00486146"/>
    <w:rsid w:val="00492C82"/>
    <w:rsid w:val="004A7758"/>
    <w:rsid w:val="004D4FA6"/>
    <w:rsid w:val="004E5136"/>
    <w:rsid w:val="004F0BA2"/>
    <w:rsid w:val="00506760"/>
    <w:rsid w:val="00535D66"/>
    <w:rsid w:val="00556F36"/>
    <w:rsid w:val="00590CE1"/>
    <w:rsid w:val="005B143F"/>
    <w:rsid w:val="005B3CDF"/>
    <w:rsid w:val="005D723F"/>
    <w:rsid w:val="005F395E"/>
    <w:rsid w:val="00672101"/>
    <w:rsid w:val="006B38E9"/>
    <w:rsid w:val="006C4F9E"/>
    <w:rsid w:val="00700220"/>
    <w:rsid w:val="007166D5"/>
    <w:rsid w:val="00775279"/>
    <w:rsid w:val="007B023D"/>
    <w:rsid w:val="007B3BE2"/>
    <w:rsid w:val="007B7C06"/>
    <w:rsid w:val="007C1EEC"/>
    <w:rsid w:val="007C6ED6"/>
    <w:rsid w:val="007F0F97"/>
    <w:rsid w:val="00812890"/>
    <w:rsid w:val="00817987"/>
    <w:rsid w:val="008716E1"/>
    <w:rsid w:val="00875C78"/>
    <w:rsid w:val="00890B55"/>
    <w:rsid w:val="008B0906"/>
    <w:rsid w:val="009201FD"/>
    <w:rsid w:val="00953F93"/>
    <w:rsid w:val="0096440F"/>
    <w:rsid w:val="009A760A"/>
    <w:rsid w:val="009C3E9F"/>
    <w:rsid w:val="009F1A4E"/>
    <w:rsid w:val="009F2318"/>
    <w:rsid w:val="00A309D6"/>
    <w:rsid w:val="00A627E9"/>
    <w:rsid w:val="00A63E3D"/>
    <w:rsid w:val="00A9406E"/>
    <w:rsid w:val="00AC37B3"/>
    <w:rsid w:val="00AD2676"/>
    <w:rsid w:val="00AD78BC"/>
    <w:rsid w:val="00B06B1F"/>
    <w:rsid w:val="00B075D4"/>
    <w:rsid w:val="00B43ED1"/>
    <w:rsid w:val="00B448F1"/>
    <w:rsid w:val="00B64C98"/>
    <w:rsid w:val="00B751AE"/>
    <w:rsid w:val="00BA0440"/>
    <w:rsid w:val="00BB3FDA"/>
    <w:rsid w:val="00BC2A20"/>
    <w:rsid w:val="00C36239"/>
    <w:rsid w:val="00C4118A"/>
    <w:rsid w:val="00C471D4"/>
    <w:rsid w:val="00C74581"/>
    <w:rsid w:val="00C971E5"/>
    <w:rsid w:val="00CA026C"/>
    <w:rsid w:val="00D0069D"/>
    <w:rsid w:val="00D2409C"/>
    <w:rsid w:val="00D24CB5"/>
    <w:rsid w:val="00D41664"/>
    <w:rsid w:val="00D41F28"/>
    <w:rsid w:val="00D43916"/>
    <w:rsid w:val="00D527EC"/>
    <w:rsid w:val="00D64960"/>
    <w:rsid w:val="00D70B1B"/>
    <w:rsid w:val="00D83EB7"/>
    <w:rsid w:val="00D92AB7"/>
    <w:rsid w:val="00D9380F"/>
    <w:rsid w:val="00DA7288"/>
    <w:rsid w:val="00DB16AD"/>
    <w:rsid w:val="00DD0130"/>
    <w:rsid w:val="00DE0F51"/>
    <w:rsid w:val="00DF1FAA"/>
    <w:rsid w:val="00E97BF7"/>
    <w:rsid w:val="00EA0110"/>
    <w:rsid w:val="00ED0316"/>
    <w:rsid w:val="00F14D88"/>
    <w:rsid w:val="00F26802"/>
    <w:rsid w:val="00F53067"/>
    <w:rsid w:val="00F53189"/>
    <w:rsid w:val="00F55C60"/>
    <w:rsid w:val="00F90111"/>
    <w:rsid w:val="00F97365"/>
    <w:rsid w:val="00FC60AE"/>
    <w:rsid w:val="00FF4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87958"/>
  <w15:docId w15:val="{993B7262-3D34-48AD-BF70-694903A8F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1AE"/>
  </w:style>
  <w:style w:type="paragraph" w:styleId="Heading1">
    <w:name w:val="heading 1"/>
    <w:basedOn w:val="Normal"/>
    <w:next w:val="Normal"/>
    <w:link w:val="Heading1Char"/>
    <w:uiPriority w:val="9"/>
    <w:qFormat/>
    <w:rsid w:val="003F63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63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51AE"/>
    <w:pPr>
      <w:keepNext/>
      <w:keepLines/>
      <w:spacing w:after="0" w:line="276" w:lineRule="auto"/>
      <w:outlineLvl w:val="2"/>
    </w:pPr>
    <w:rPr>
      <w:rFonts w:ascii="Arial" w:eastAsiaTheme="majorEastAsia" w:hAnsi="Arial" w:cstheme="majorBidi"/>
      <w:b/>
      <w:sz w:val="24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63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63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63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63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63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63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63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63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751AE"/>
    <w:rPr>
      <w:rFonts w:ascii="Arial" w:eastAsiaTheme="majorEastAsia" w:hAnsi="Arial" w:cstheme="majorBidi"/>
      <w:b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63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63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63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63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63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63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63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63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63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63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63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63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63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63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63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63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63C6"/>
    <w:rPr>
      <w:b/>
      <w:bCs/>
      <w:smallCaps/>
      <w:color w:val="0F4761" w:themeColor="accent1" w:themeShade="BF"/>
      <w:spacing w:val="5"/>
    </w:rPr>
  </w:style>
  <w:style w:type="character" w:styleId="Emphasis">
    <w:name w:val="Emphasis"/>
    <w:basedOn w:val="DefaultParagraphFont"/>
    <w:uiPriority w:val="20"/>
    <w:qFormat/>
    <w:rsid w:val="00D70B1B"/>
    <w:rPr>
      <w:i/>
      <w:iCs/>
    </w:rPr>
  </w:style>
  <w:style w:type="paragraph" w:styleId="Revision">
    <w:name w:val="Revision"/>
    <w:hidden/>
    <w:uiPriority w:val="99"/>
    <w:semiHidden/>
    <w:rsid w:val="002D24C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527EC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C3E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3E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3E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3E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3E9F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90111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48F1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E97BF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A77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7758"/>
  </w:style>
  <w:style w:type="paragraph" w:styleId="Footer">
    <w:name w:val="footer"/>
    <w:basedOn w:val="Normal"/>
    <w:link w:val="FooterChar"/>
    <w:uiPriority w:val="99"/>
    <w:unhideWhenUsed/>
    <w:rsid w:val="004A77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7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EN/TXT/PDF/?uri=CELEX:32022R2554&amp;from=E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ur-lex.europa.eu/legal-content/EN/TXT/PDF/?uri=CELEX:32022R2554&amp;from=E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84612-9EBB-4B4C-B1AB-8BEDB48AC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Pensions Authority</Company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Dunne (Pensions Authority)</dc:creator>
  <cp:keywords/>
  <dc:description/>
  <cp:lastModifiedBy>Aideen Bugler (Pensions Authority)</cp:lastModifiedBy>
  <cp:revision>3</cp:revision>
  <cp:lastPrinted>2024-07-24T10:29:00Z</cp:lastPrinted>
  <dcterms:created xsi:type="dcterms:W3CDTF">2026-04-15T11:17:00Z</dcterms:created>
  <dcterms:modified xsi:type="dcterms:W3CDTF">2026-04-15T11:20:00Z</dcterms:modified>
</cp:coreProperties>
</file>