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7D85" w14:textId="53C8EEC8" w:rsidR="004F6E8D" w:rsidRDefault="004F6E8D" w:rsidP="004F6E8D">
      <w:pPr>
        <w:jc w:val="center"/>
        <w:rPr>
          <w:noProof/>
          <w:lang w:eastAsia="en-IE"/>
        </w:rPr>
      </w:pPr>
    </w:p>
    <w:p w14:paraId="729949BB" w14:textId="0575367A" w:rsidR="004F6E8D" w:rsidRDefault="004F6E8D" w:rsidP="004F6E8D">
      <w:pPr>
        <w:jc w:val="center"/>
        <w:rPr>
          <w:noProof/>
          <w:szCs w:val="24"/>
          <w:lang w:eastAsia="en-IE"/>
        </w:rPr>
      </w:pPr>
    </w:p>
    <w:p w14:paraId="7CB79A3E" w14:textId="77777777" w:rsidR="00616A69" w:rsidRDefault="00616A69" w:rsidP="004F6E8D">
      <w:pPr>
        <w:jc w:val="center"/>
        <w:rPr>
          <w:noProof/>
          <w:szCs w:val="24"/>
          <w:lang w:eastAsia="en-IE"/>
        </w:rPr>
      </w:pPr>
    </w:p>
    <w:p w14:paraId="7DAE72DB" w14:textId="77777777" w:rsidR="004F6E8D" w:rsidRDefault="004F6E8D" w:rsidP="004F6E8D">
      <w:pPr>
        <w:jc w:val="center"/>
        <w:rPr>
          <w:noProof/>
          <w:szCs w:val="24"/>
          <w:lang w:eastAsia="en-IE"/>
        </w:rPr>
      </w:pPr>
    </w:p>
    <w:p w14:paraId="2879395D" w14:textId="77777777" w:rsidR="004F6E8D" w:rsidRDefault="004F6E8D" w:rsidP="004F6E8D">
      <w:pPr>
        <w:jc w:val="center"/>
        <w:rPr>
          <w:noProof/>
          <w:szCs w:val="24"/>
          <w:lang w:eastAsia="en-IE"/>
        </w:rPr>
      </w:pPr>
    </w:p>
    <w:p w14:paraId="4D9A7DB9" w14:textId="77777777" w:rsidR="004F6E8D" w:rsidRDefault="004F6E8D" w:rsidP="004F6E8D">
      <w:pPr>
        <w:jc w:val="center"/>
        <w:rPr>
          <w:noProof/>
          <w:szCs w:val="24"/>
          <w:lang w:eastAsia="en-IE"/>
        </w:rPr>
      </w:pPr>
    </w:p>
    <w:p w14:paraId="3AD61359" w14:textId="77777777" w:rsidR="004F6E8D" w:rsidRPr="00371C17" w:rsidRDefault="004F6E8D" w:rsidP="004F6E8D">
      <w:pPr>
        <w:jc w:val="center"/>
        <w:rPr>
          <w:noProof/>
          <w:szCs w:val="24"/>
          <w:lang w:eastAsia="en-IE"/>
        </w:rPr>
      </w:pPr>
    </w:p>
    <w:p w14:paraId="41B121D0" w14:textId="77777777" w:rsidR="004F6E8D" w:rsidRPr="003B113A" w:rsidRDefault="004F6E8D" w:rsidP="004F6E8D">
      <w:pPr>
        <w:jc w:val="center"/>
        <w:rPr>
          <w:b/>
          <w:noProof/>
          <w:sz w:val="32"/>
          <w:szCs w:val="32"/>
          <w:lang w:eastAsia="en-IE"/>
        </w:rPr>
      </w:pPr>
    </w:p>
    <w:p w14:paraId="436AF24B" w14:textId="77777777" w:rsidR="004F6E8D" w:rsidRDefault="004F6E8D" w:rsidP="004F6E8D">
      <w:pPr>
        <w:jc w:val="center"/>
        <w:rPr>
          <w:noProof/>
          <w:sz w:val="32"/>
          <w:szCs w:val="32"/>
          <w:lang w:eastAsia="en-IE"/>
        </w:rPr>
      </w:pPr>
    </w:p>
    <w:p w14:paraId="78DDF6E4" w14:textId="77777777" w:rsidR="004F6E8D" w:rsidRDefault="004F6E8D" w:rsidP="004F6E8D">
      <w:pPr>
        <w:jc w:val="center"/>
        <w:rPr>
          <w:noProof/>
          <w:sz w:val="32"/>
          <w:szCs w:val="32"/>
          <w:lang w:eastAsia="en-IE"/>
        </w:rPr>
      </w:pPr>
    </w:p>
    <w:p w14:paraId="76558C40" w14:textId="77777777" w:rsidR="004F6E8D" w:rsidRDefault="004F6E8D" w:rsidP="004F6E8D">
      <w:pPr>
        <w:jc w:val="center"/>
        <w:rPr>
          <w:noProof/>
          <w:sz w:val="32"/>
          <w:szCs w:val="32"/>
          <w:lang w:eastAsia="en-IE"/>
        </w:rPr>
      </w:pPr>
    </w:p>
    <w:p w14:paraId="4AF2642B" w14:textId="77777777" w:rsidR="004F6E8D" w:rsidRPr="00F30D6E" w:rsidRDefault="004F6E8D" w:rsidP="004F6E8D">
      <w:pPr>
        <w:jc w:val="center"/>
        <w:rPr>
          <w:noProof/>
          <w:sz w:val="36"/>
          <w:szCs w:val="36"/>
          <w:lang w:eastAsia="en-IE"/>
        </w:rPr>
      </w:pPr>
    </w:p>
    <w:p w14:paraId="4FF99545" w14:textId="6FFC1E63" w:rsidR="004F6E8D" w:rsidRPr="00C20759" w:rsidRDefault="004F6E8D" w:rsidP="007839F6">
      <w:pPr>
        <w:jc w:val="center"/>
        <w:rPr>
          <w:b/>
          <w:noProof/>
          <w:sz w:val="48"/>
          <w:szCs w:val="36"/>
          <w:lang w:eastAsia="en-IE"/>
        </w:rPr>
      </w:pPr>
      <w:r w:rsidRPr="00C20759">
        <w:rPr>
          <w:b/>
          <w:noProof/>
          <w:sz w:val="48"/>
          <w:szCs w:val="36"/>
          <w:lang w:eastAsia="en-IE"/>
        </w:rPr>
        <w:t xml:space="preserve">FAQs </w:t>
      </w:r>
      <w:r w:rsidR="007839F6">
        <w:rPr>
          <w:b/>
          <w:noProof/>
          <w:sz w:val="48"/>
          <w:szCs w:val="36"/>
          <w:lang w:eastAsia="en-IE"/>
        </w:rPr>
        <w:t>for trustees on sovereign annuities</w:t>
      </w:r>
    </w:p>
    <w:p w14:paraId="3CFD5CC4" w14:textId="7BF3B022" w:rsidR="000B7FE0" w:rsidRDefault="000B7FE0" w:rsidP="004F6E8D">
      <w:pPr>
        <w:jc w:val="center"/>
        <w:rPr>
          <w:b/>
          <w:noProof/>
          <w:sz w:val="36"/>
          <w:szCs w:val="36"/>
          <w:lang w:eastAsia="en-IE"/>
        </w:rPr>
      </w:pPr>
    </w:p>
    <w:p w14:paraId="66C66DF6" w14:textId="77777777" w:rsidR="000B7FE0" w:rsidRDefault="000B7FE0" w:rsidP="004F6E8D">
      <w:pPr>
        <w:jc w:val="center"/>
        <w:rPr>
          <w:b/>
          <w:noProof/>
          <w:sz w:val="36"/>
          <w:szCs w:val="36"/>
          <w:lang w:eastAsia="en-IE"/>
        </w:rPr>
      </w:pPr>
    </w:p>
    <w:p w14:paraId="6666AFCE" w14:textId="77777777" w:rsidR="000B7FE0" w:rsidRDefault="000B7FE0" w:rsidP="004F6E8D">
      <w:pPr>
        <w:jc w:val="center"/>
        <w:rPr>
          <w:b/>
          <w:noProof/>
          <w:sz w:val="36"/>
          <w:szCs w:val="36"/>
          <w:lang w:eastAsia="en-IE"/>
        </w:rPr>
      </w:pPr>
    </w:p>
    <w:p w14:paraId="3F86CDDF" w14:textId="77777777" w:rsidR="000B7FE0" w:rsidRDefault="000B7FE0" w:rsidP="004F6E8D">
      <w:pPr>
        <w:jc w:val="center"/>
        <w:rPr>
          <w:b/>
          <w:noProof/>
          <w:sz w:val="36"/>
          <w:szCs w:val="36"/>
          <w:lang w:eastAsia="en-IE"/>
        </w:rPr>
      </w:pPr>
    </w:p>
    <w:p w14:paraId="3235C684" w14:textId="77777777" w:rsidR="000B7FE0" w:rsidRDefault="000B7FE0" w:rsidP="004F6E8D">
      <w:pPr>
        <w:jc w:val="center"/>
        <w:rPr>
          <w:b/>
          <w:noProof/>
          <w:sz w:val="36"/>
          <w:szCs w:val="36"/>
          <w:lang w:eastAsia="en-IE"/>
        </w:rPr>
      </w:pPr>
    </w:p>
    <w:p w14:paraId="2497AFD9" w14:textId="1E6F2CAD" w:rsidR="000B7FE0" w:rsidRDefault="000B7FE0" w:rsidP="004F6E8D">
      <w:pPr>
        <w:jc w:val="center"/>
        <w:rPr>
          <w:b/>
          <w:noProof/>
          <w:sz w:val="36"/>
          <w:szCs w:val="36"/>
          <w:lang w:eastAsia="en-IE"/>
        </w:rPr>
      </w:pPr>
    </w:p>
    <w:p w14:paraId="2A11BC65" w14:textId="77777777" w:rsidR="00616A69" w:rsidRDefault="00616A69" w:rsidP="004F6E8D">
      <w:pPr>
        <w:jc w:val="center"/>
        <w:rPr>
          <w:b/>
          <w:noProof/>
          <w:sz w:val="36"/>
          <w:szCs w:val="36"/>
          <w:lang w:eastAsia="en-IE"/>
        </w:rPr>
      </w:pPr>
    </w:p>
    <w:tbl>
      <w:tblPr>
        <w:tblStyle w:val="TableGrid1"/>
        <w:tblW w:w="0" w:type="auto"/>
        <w:tblLook w:val="04A0" w:firstRow="1" w:lastRow="0" w:firstColumn="1" w:lastColumn="0" w:noHBand="0" w:noVBand="1"/>
      </w:tblPr>
      <w:tblGrid>
        <w:gridCol w:w="8996"/>
      </w:tblGrid>
      <w:tr w:rsidR="00981B28" w:rsidRPr="00981B28" w14:paraId="32C0C824" w14:textId="77777777" w:rsidTr="00D152F8">
        <w:tc>
          <w:tcPr>
            <w:tcW w:w="9350" w:type="dxa"/>
            <w:tcBorders>
              <w:top w:val="single" w:sz="12" w:space="0" w:color="auto"/>
              <w:left w:val="single" w:sz="12" w:space="0" w:color="auto"/>
              <w:bottom w:val="single" w:sz="12" w:space="0" w:color="auto"/>
              <w:right w:val="single" w:sz="12" w:space="0" w:color="auto"/>
            </w:tcBorders>
          </w:tcPr>
          <w:p w14:paraId="6C87CC97" w14:textId="77777777" w:rsidR="00981B28" w:rsidRPr="00981B28" w:rsidRDefault="00981B28" w:rsidP="00981B28">
            <w:pPr>
              <w:ind w:left="360"/>
              <w:rPr>
                <w:rFonts w:ascii="Calibri" w:hAnsi="Calibri"/>
                <w:color w:val="1F497D"/>
                <w:sz w:val="22"/>
                <w:szCs w:val="22"/>
                <w:lang w:val="en-US" w:eastAsia="en-GB"/>
              </w:rPr>
            </w:pPr>
          </w:p>
          <w:p w14:paraId="30C0A65B" w14:textId="77777777" w:rsidR="00981B28" w:rsidRPr="00981B28" w:rsidRDefault="00981B28" w:rsidP="00981B28">
            <w:pPr>
              <w:ind w:left="164" w:right="169"/>
              <w:rPr>
                <w:rFonts w:ascii="Arial" w:hAnsi="Arial" w:cs="Arial"/>
                <w:b/>
                <w:iCs/>
                <w:szCs w:val="24"/>
                <w:lang w:val="en-US" w:eastAsia="en-GB"/>
              </w:rPr>
            </w:pPr>
            <w:r w:rsidRPr="00981B28">
              <w:rPr>
                <w:rFonts w:ascii="Arial" w:hAnsi="Arial" w:cs="Arial"/>
                <w:b/>
                <w:iCs/>
                <w:szCs w:val="24"/>
                <w:lang w:val="en-US" w:eastAsia="en-GB"/>
              </w:rPr>
              <w:t>Disclaimer</w:t>
            </w:r>
          </w:p>
          <w:p w14:paraId="69BAC14E" w14:textId="77777777" w:rsidR="00981B28" w:rsidRPr="00981B28" w:rsidRDefault="00981B28" w:rsidP="00981B28">
            <w:pPr>
              <w:ind w:left="164" w:right="169"/>
              <w:rPr>
                <w:rFonts w:ascii="Arial" w:hAnsi="Arial" w:cs="Arial"/>
                <w:iCs/>
                <w:szCs w:val="24"/>
                <w:lang w:val="en-US" w:eastAsia="en-GB"/>
              </w:rPr>
            </w:pPr>
          </w:p>
          <w:p w14:paraId="3C96BBC8" w14:textId="77AD9769" w:rsidR="00981B28" w:rsidRPr="00981B28" w:rsidRDefault="00981B28" w:rsidP="00057524">
            <w:pPr>
              <w:spacing w:line="276" w:lineRule="auto"/>
              <w:ind w:left="164" w:right="169"/>
              <w:jc w:val="both"/>
              <w:rPr>
                <w:rFonts w:ascii="Arial" w:hAnsi="Arial" w:cs="Arial"/>
                <w:szCs w:val="24"/>
              </w:rPr>
            </w:pPr>
            <w:r w:rsidRPr="00981B28">
              <w:rPr>
                <w:rFonts w:ascii="Arial" w:hAnsi="Arial" w:cs="Arial"/>
                <w:iCs/>
                <w:szCs w:val="24"/>
                <w:lang w:val="en-US" w:eastAsia="en-GB"/>
              </w:rPr>
              <w:t xml:space="preserve">The Pensions Authority have made every effort to ensure that this </w:t>
            </w:r>
            <w:r w:rsidR="007839F6">
              <w:rPr>
                <w:rFonts w:ascii="Arial" w:hAnsi="Arial" w:cs="Arial"/>
                <w:iCs/>
                <w:szCs w:val="24"/>
                <w:lang w:val="en-US" w:eastAsia="en-GB"/>
              </w:rPr>
              <w:t>document</w:t>
            </w:r>
            <w:r w:rsidRPr="00981B28">
              <w:rPr>
                <w:rFonts w:ascii="Arial" w:hAnsi="Arial" w:cs="Arial"/>
                <w:iCs/>
                <w:szCs w:val="24"/>
                <w:lang w:val="en-US" w:eastAsia="en-GB"/>
              </w:rPr>
              <w:t xml:space="preserve"> is correct. However, no liability whatsoever is accepted by the Pensions Authority, its servants or </w:t>
            </w:r>
            <w:proofErr w:type="gramStart"/>
            <w:r w:rsidRPr="00981B28">
              <w:rPr>
                <w:rFonts w:ascii="Arial" w:hAnsi="Arial" w:cs="Arial"/>
                <w:iCs/>
                <w:szCs w:val="24"/>
                <w:lang w:val="en-US" w:eastAsia="en-GB"/>
              </w:rPr>
              <w:t>agents</w:t>
            </w:r>
            <w:proofErr w:type="gramEnd"/>
            <w:r w:rsidRPr="00981B28">
              <w:rPr>
                <w:rFonts w:ascii="Arial" w:hAnsi="Arial" w:cs="Arial"/>
                <w:iCs/>
                <w:szCs w:val="24"/>
                <w:lang w:val="en-US" w:eastAsia="en-GB"/>
              </w:rPr>
              <w:t xml:space="preserve"> for any errors or omissions in the information contained in this </w:t>
            </w:r>
            <w:r w:rsidR="007839F6">
              <w:rPr>
                <w:rFonts w:ascii="Arial" w:hAnsi="Arial" w:cs="Arial"/>
                <w:iCs/>
                <w:szCs w:val="24"/>
                <w:lang w:val="en-US" w:eastAsia="en-GB"/>
              </w:rPr>
              <w:t>document</w:t>
            </w:r>
            <w:r w:rsidRPr="00981B28">
              <w:rPr>
                <w:rFonts w:ascii="Arial" w:hAnsi="Arial" w:cs="Arial"/>
                <w:iCs/>
                <w:szCs w:val="24"/>
                <w:lang w:val="en-US" w:eastAsia="en-GB"/>
              </w:rPr>
              <w:t xml:space="preserve"> or for any loss occasioned to any person acting or refraining from acting </w:t>
            </w:r>
            <w:proofErr w:type="gramStart"/>
            <w:r w:rsidRPr="00981B28">
              <w:rPr>
                <w:rFonts w:ascii="Arial" w:hAnsi="Arial" w:cs="Arial"/>
                <w:iCs/>
                <w:szCs w:val="24"/>
                <w:lang w:val="en-US" w:eastAsia="en-GB"/>
              </w:rPr>
              <w:t>as a result of</w:t>
            </w:r>
            <w:proofErr w:type="gramEnd"/>
            <w:r w:rsidRPr="00981B28">
              <w:rPr>
                <w:rFonts w:ascii="Arial" w:hAnsi="Arial" w:cs="Arial"/>
                <w:iCs/>
                <w:szCs w:val="24"/>
                <w:lang w:val="en-US" w:eastAsia="en-GB"/>
              </w:rPr>
              <w:t xml:space="preserve"> the information in this </w:t>
            </w:r>
            <w:r w:rsidR="007839F6">
              <w:rPr>
                <w:rFonts w:ascii="Arial" w:hAnsi="Arial" w:cs="Arial"/>
                <w:iCs/>
                <w:szCs w:val="24"/>
                <w:lang w:val="en-US" w:eastAsia="en-GB"/>
              </w:rPr>
              <w:t>document</w:t>
            </w:r>
            <w:r w:rsidRPr="00981B28">
              <w:rPr>
                <w:rFonts w:ascii="Arial" w:hAnsi="Arial" w:cs="Arial"/>
                <w:iCs/>
                <w:szCs w:val="24"/>
                <w:lang w:val="en-US" w:eastAsia="en-GB"/>
              </w:rPr>
              <w:t>.</w:t>
            </w:r>
          </w:p>
          <w:p w14:paraId="7DAEB774" w14:textId="77777777" w:rsidR="00981B28" w:rsidRPr="00981B28" w:rsidRDefault="00981B28" w:rsidP="00981B28">
            <w:pPr>
              <w:rPr>
                <w:rFonts w:cs="Arial"/>
                <w:b/>
                <w:szCs w:val="24"/>
                <w:lang w:val="en-GB" w:eastAsia="en-GB"/>
              </w:rPr>
            </w:pPr>
          </w:p>
        </w:tc>
      </w:tr>
    </w:tbl>
    <w:p w14:paraId="62977E85" w14:textId="77777777" w:rsidR="00981B28" w:rsidRPr="00057524" w:rsidRDefault="00981B28" w:rsidP="004F6E8D">
      <w:pPr>
        <w:jc w:val="center"/>
        <w:rPr>
          <w:b/>
          <w:noProof/>
          <w:sz w:val="8"/>
          <w:szCs w:val="8"/>
          <w:lang w:eastAsia="en-IE"/>
        </w:rPr>
      </w:pPr>
    </w:p>
    <w:p w14:paraId="4BAAEADB" w14:textId="47142CBA" w:rsidR="00F156FB" w:rsidRDefault="00F156FB" w:rsidP="004F6E8D">
      <w:pPr>
        <w:jc w:val="center"/>
        <w:rPr>
          <w:b/>
          <w:noProof/>
          <w:szCs w:val="36"/>
          <w:lang w:eastAsia="en-IE"/>
        </w:rPr>
      </w:pPr>
    </w:p>
    <w:p w14:paraId="6C04B2DC" w14:textId="57C2ABD7" w:rsidR="00CD0CEC" w:rsidRDefault="00CD0CEC" w:rsidP="004F6E8D">
      <w:pPr>
        <w:jc w:val="center"/>
        <w:rPr>
          <w:b/>
          <w:noProof/>
          <w:szCs w:val="36"/>
          <w:lang w:eastAsia="en-IE"/>
        </w:rPr>
      </w:pPr>
    </w:p>
    <w:p w14:paraId="62472B53" w14:textId="3D32806C" w:rsidR="00CD0CEC" w:rsidRDefault="00CD0CEC" w:rsidP="004F6E8D">
      <w:pPr>
        <w:jc w:val="center"/>
        <w:rPr>
          <w:b/>
          <w:noProof/>
          <w:szCs w:val="36"/>
          <w:lang w:eastAsia="en-IE"/>
        </w:rPr>
      </w:pPr>
    </w:p>
    <w:p w14:paraId="557577FD" w14:textId="77777777" w:rsidR="00CD0CEC" w:rsidRDefault="00CD0CEC" w:rsidP="004F6E8D">
      <w:pPr>
        <w:jc w:val="center"/>
        <w:rPr>
          <w:b/>
          <w:noProof/>
          <w:szCs w:val="36"/>
          <w:lang w:eastAsia="en-IE"/>
        </w:rPr>
      </w:pPr>
    </w:p>
    <w:p w14:paraId="170B79BF" w14:textId="583A325C" w:rsidR="000B7FE0" w:rsidRPr="003E7833" w:rsidRDefault="00D6610A" w:rsidP="006A1422">
      <w:pPr>
        <w:rPr>
          <w:b/>
          <w:noProof/>
          <w:sz w:val="32"/>
          <w:szCs w:val="32"/>
          <w:lang w:eastAsia="en-IE"/>
        </w:rPr>
      </w:pPr>
      <w:r w:rsidRPr="003E7833">
        <w:rPr>
          <w:b/>
          <w:noProof/>
          <w:sz w:val="32"/>
          <w:szCs w:val="32"/>
          <w:lang w:eastAsia="en-IE"/>
        </w:rPr>
        <w:lastRenderedPageBreak/>
        <w:t>Table of c</w:t>
      </w:r>
      <w:r w:rsidR="00C20759" w:rsidRPr="003E7833">
        <w:rPr>
          <w:b/>
          <w:noProof/>
          <w:sz w:val="32"/>
          <w:szCs w:val="32"/>
          <w:lang w:eastAsia="en-IE"/>
        </w:rPr>
        <w:t>ontents</w:t>
      </w:r>
    </w:p>
    <w:sdt>
      <w:sdtPr>
        <w:rPr>
          <w:rFonts w:ascii="Arial" w:eastAsiaTheme="minorHAnsi" w:hAnsi="Arial" w:cstheme="minorBidi"/>
          <w:color w:val="auto"/>
          <w:sz w:val="28"/>
          <w:szCs w:val="28"/>
          <w:lang w:val="en-IE"/>
        </w:rPr>
        <w:id w:val="1250776495"/>
        <w:docPartObj>
          <w:docPartGallery w:val="Table of Contents"/>
          <w:docPartUnique/>
        </w:docPartObj>
      </w:sdtPr>
      <w:sdtEndPr>
        <w:rPr>
          <w:b/>
          <w:bCs/>
          <w:noProof/>
          <w:sz w:val="24"/>
        </w:rPr>
      </w:sdtEndPr>
      <w:sdtContent>
        <w:p w14:paraId="000B17CA" w14:textId="4034C631" w:rsidR="00C32DEF" w:rsidRPr="00057524" w:rsidRDefault="00C32DEF">
          <w:pPr>
            <w:pStyle w:val="TOCHeading"/>
            <w:rPr>
              <w:sz w:val="8"/>
              <w:szCs w:val="8"/>
            </w:rPr>
          </w:pPr>
        </w:p>
        <w:p w14:paraId="7FC5E186" w14:textId="4BA9FA2E" w:rsidR="008E44AF" w:rsidRDefault="00C32DEF" w:rsidP="008E44AF">
          <w:pPr>
            <w:pStyle w:val="TOC1"/>
            <w:rPr>
              <w:rFonts w:asciiTheme="minorHAnsi" w:eastAsiaTheme="minorEastAsia" w:hAnsiTheme="minorHAnsi"/>
              <w:noProof/>
              <w:kern w:val="2"/>
              <w:sz w:val="22"/>
              <w:szCs w:val="22"/>
              <w:lang w:eastAsia="en-IE"/>
              <w14:ligatures w14:val="standardContextual"/>
            </w:rPr>
          </w:pPr>
          <w:r>
            <w:fldChar w:fldCharType="begin"/>
          </w:r>
          <w:r>
            <w:instrText xml:space="preserve"> TOC \o "1-1" \h \z \u </w:instrText>
          </w:r>
          <w:r>
            <w:fldChar w:fldCharType="separate"/>
          </w:r>
          <w:hyperlink w:anchor="_Toc139446066" w:history="1">
            <w:r w:rsidR="008E44AF" w:rsidRPr="00162DE2">
              <w:rPr>
                <w:rStyle w:val="Hyperlink"/>
                <w:caps/>
                <w:noProof/>
              </w:rPr>
              <w:t>1.</w:t>
            </w:r>
            <w:r w:rsidR="008E44AF">
              <w:rPr>
                <w:rFonts w:asciiTheme="minorHAnsi" w:eastAsiaTheme="minorEastAsia" w:hAnsiTheme="minorHAnsi"/>
                <w:noProof/>
                <w:kern w:val="2"/>
                <w:sz w:val="22"/>
                <w:szCs w:val="22"/>
                <w:lang w:eastAsia="en-IE"/>
                <w14:ligatures w14:val="standardContextual"/>
              </w:rPr>
              <w:tab/>
            </w:r>
            <w:r w:rsidR="008E44AF" w:rsidRPr="00162DE2">
              <w:rPr>
                <w:rStyle w:val="Hyperlink"/>
                <w:noProof/>
              </w:rPr>
              <w:t>What is a sovereign annuity?</w:t>
            </w:r>
            <w:r w:rsidR="008E44AF">
              <w:rPr>
                <w:noProof/>
                <w:webHidden/>
              </w:rPr>
              <w:tab/>
            </w:r>
            <w:r w:rsidR="008E44AF">
              <w:rPr>
                <w:noProof/>
                <w:webHidden/>
              </w:rPr>
              <w:fldChar w:fldCharType="begin"/>
            </w:r>
            <w:r w:rsidR="008E44AF">
              <w:rPr>
                <w:noProof/>
                <w:webHidden/>
              </w:rPr>
              <w:instrText xml:space="preserve"> PAGEREF _Toc139446066 \h </w:instrText>
            </w:r>
            <w:r w:rsidR="008E44AF">
              <w:rPr>
                <w:noProof/>
                <w:webHidden/>
              </w:rPr>
            </w:r>
            <w:r w:rsidR="008E44AF">
              <w:rPr>
                <w:noProof/>
                <w:webHidden/>
              </w:rPr>
              <w:fldChar w:fldCharType="separate"/>
            </w:r>
            <w:r w:rsidR="00672BD6">
              <w:rPr>
                <w:noProof/>
                <w:webHidden/>
              </w:rPr>
              <w:t>4</w:t>
            </w:r>
            <w:r w:rsidR="008E44AF">
              <w:rPr>
                <w:noProof/>
                <w:webHidden/>
              </w:rPr>
              <w:fldChar w:fldCharType="end"/>
            </w:r>
          </w:hyperlink>
        </w:p>
        <w:p w14:paraId="6569CC7C" w14:textId="4E915FFA"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67" w:history="1">
            <w:r w:rsidRPr="00162DE2">
              <w:rPr>
                <w:rStyle w:val="Hyperlink"/>
                <w:caps/>
                <w:noProof/>
              </w:rPr>
              <w:t>2.</w:t>
            </w:r>
            <w:r>
              <w:rPr>
                <w:rFonts w:asciiTheme="minorHAnsi" w:eastAsiaTheme="minorEastAsia" w:hAnsiTheme="minorHAnsi"/>
                <w:noProof/>
                <w:kern w:val="2"/>
                <w:sz w:val="22"/>
                <w:szCs w:val="22"/>
                <w:lang w:eastAsia="en-IE"/>
                <w14:ligatures w14:val="standardContextual"/>
              </w:rPr>
              <w:tab/>
            </w:r>
            <w:r w:rsidRPr="00162DE2">
              <w:rPr>
                <w:rStyle w:val="Hyperlink"/>
                <w:noProof/>
              </w:rPr>
              <w:t>What is the difference between a traditional annuity and a sovereign annuity?</w:t>
            </w:r>
            <w:r>
              <w:rPr>
                <w:noProof/>
                <w:webHidden/>
              </w:rPr>
              <w:tab/>
            </w:r>
            <w:r>
              <w:rPr>
                <w:noProof/>
                <w:webHidden/>
              </w:rPr>
              <w:fldChar w:fldCharType="begin"/>
            </w:r>
            <w:r>
              <w:rPr>
                <w:noProof/>
                <w:webHidden/>
              </w:rPr>
              <w:instrText xml:space="preserve"> PAGEREF _Toc139446067 \h </w:instrText>
            </w:r>
            <w:r>
              <w:rPr>
                <w:noProof/>
                <w:webHidden/>
              </w:rPr>
            </w:r>
            <w:r>
              <w:rPr>
                <w:noProof/>
                <w:webHidden/>
              </w:rPr>
              <w:fldChar w:fldCharType="separate"/>
            </w:r>
            <w:r w:rsidR="00672BD6">
              <w:rPr>
                <w:noProof/>
                <w:webHidden/>
              </w:rPr>
              <w:t>4</w:t>
            </w:r>
            <w:r>
              <w:rPr>
                <w:noProof/>
                <w:webHidden/>
              </w:rPr>
              <w:fldChar w:fldCharType="end"/>
            </w:r>
          </w:hyperlink>
        </w:p>
        <w:p w14:paraId="26D6A629" w14:textId="587CCD1A"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68" w:history="1">
            <w:r w:rsidRPr="00162DE2">
              <w:rPr>
                <w:rStyle w:val="Hyperlink"/>
                <w:caps/>
                <w:noProof/>
              </w:rPr>
              <w:t>3.</w:t>
            </w:r>
            <w:r>
              <w:rPr>
                <w:rFonts w:asciiTheme="minorHAnsi" w:eastAsiaTheme="minorEastAsia" w:hAnsiTheme="minorHAnsi"/>
                <w:noProof/>
                <w:kern w:val="2"/>
                <w:sz w:val="22"/>
                <w:szCs w:val="22"/>
                <w:lang w:eastAsia="en-IE"/>
                <w14:ligatures w14:val="standardContextual"/>
              </w:rPr>
              <w:tab/>
            </w:r>
            <w:r w:rsidRPr="00162DE2">
              <w:rPr>
                <w:rStyle w:val="Hyperlink"/>
                <w:noProof/>
              </w:rPr>
              <w:t>What is the role of the Pensions Authority?</w:t>
            </w:r>
            <w:r>
              <w:rPr>
                <w:noProof/>
                <w:webHidden/>
              </w:rPr>
              <w:tab/>
            </w:r>
            <w:r>
              <w:rPr>
                <w:noProof/>
                <w:webHidden/>
              </w:rPr>
              <w:fldChar w:fldCharType="begin"/>
            </w:r>
            <w:r>
              <w:rPr>
                <w:noProof/>
                <w:webHidden/>
              </w:rPr>
              <w:instrText xml:space="preserve"> PAGEREF _Toc139446068 \h </w:instrText>
            </w:r>
            <w:r>
              <w:rPr>
                <w:noProof/>
                <w:webHidden/>
              </w:rPr>
            </w:r>
            <w:r>
              <w:rPr>
                <w:noProof/>
                <w:webHidden/>
              </w:rPr>
              <w:fldChar w:fldCharType="separate"/>
            </w:r>
            <w:r w:rsidR="00672BD6">
              <w:rPr>
                <w:noProof/>
                <w:webHidden/>
              </w:rPr>
              <w:t>4</w:t>
            </w:r>
            <w:r>
              <w:rPr>
                <w:noProof/>
                <w:webHidden/>
              </w:rPr>
              <w:fldChar w:fldCharType="end"/>
            </w:r>
          </w:hyperlink>
        </w:p>
        <w:p w14:paraId="13B14911" w14:textId="7BFCE447"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69" w:history="1">
            <w:r w:rsidRPr="00162DE2">
              <w:rPr>
                <w:rStyle w:val="Hyperlink"/>
                <w:caps/>
                <w:noProof/>
              </w:rPr>
              <w:t>4.</w:t>
            </w:r>
            <w:r>
              <w:rPr>
                <w:rFonts w:asciiTheme="minorHAnsi" w:eastAsiaTheme="minorEastAsia" w:hAnsiTheme="minorHAnsi"/>
                <w:noProof/>
                <w:kern w:val="2"/>
                <w:sz w:val="22"/>
                <w:szCs w:val="22"/>
                <w:lang w:eastAsia="en-IE"/>
                <w14:ligatures w14:val="standardContextual"/>
              </w:rPr>
              <w:tab/>
            </w:r>
            <w:r w:rsidRPr="00162DE2">
              <w:rPr>
                <w:rStyle w:val="Hyperlink"/>
                <w:noProof/>
              </w:rPr>
              <w:t>Is there a register of specimen policies certified by the Pensions Authority?</w:t>
            </w:r>
            <w:r>
              <w:rPr>
                <w:noProof/>
                <w:webHidden/>
              </w:rPr>
              <w:tab/>
            </w:r>
            <w:r>
              <w:rPr>
                <w:noProof/>
                <w:webHidden/>
              </w:rPr>
              <w:fldChar w:fldCharType="begin"/>
            </w:r>
            <w:r>
              <w:rPr>
                <w:noProof/>
                <w:webHidden/>
              </w:rPr>
              <w:instrText xml:space="preserve"> PAGEREF _Toc139446069 \h </w:instrText>
            </w:r>
            <w:r>
              <w:rPr>
                <w:noProof/>
                <w:webHidden/>
              </w:rPr>
            </w:r>
            <w:r>
              <w:rPr>
                <w:noProof/>
                <w:webHidden/>
              </w:rPr>
              <w:fldChar w:fldCharType="separate"/>
            </w:r>
            <w:r w:rsidR="00672BD6">
              <w:rPr>
                <w:noProof/>
                <w:webHidden/>
              </w:rPr>
              <w:t>5</w:t>
            </w:r>
            <w:r>
              <w:rPr>
                <w:noProof/>
                <w:webHidden/>
              </w:rPr>
              <w:fldChar w:fldCharType="end"/>
            </w:r>
          </w:hyperlink>
        </w:p>
        <w:p w14:paraId="134CC04F" w14:textId="1B3AED4A"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70" w:history="1">
            <w:r w:rsidRPr="00162DE2">
              <w:rPr>
                <w:rStyle w:val="Hyperlink"/>
                <w:caps/>
                <w:noProof/>
              </w:rPr>
              <w:t>5.</w:t>
            </w:r>
            <w:r>
              <w:rPr>
                <w:rFonts w:asciiTheme="minorHAnsi" w:eastAsiaTheme="minorEastAsia" w:hAnsiTheme="minorHAnsi"/>
                <w:noProof/>
                <w:kern w:val="2"/>
                <w:sz w:val="22"/>
                <w:szCs w:val="22"/>
                <w:lang w:eastAsia="en-IE"/>
                <w14:ligatures w14:val="standardContextual"/>
              </w:rPr>
              <w:tab/>
            </w:r>
            <w:r w:rsidRPr="00162DE2">
              <w:rPr>
                <w:rStyle w:val="Hyperlink"/>
                <w:noProof/>
              </w:rPr>
              <w:t>Who can purchase sovereign annuities?</w:t>
            </w:r>
            <w:r>
              <w:rPr>
                <w:noProof/>
                <w:webHidden/>
              </w:rPr>
              <w:tab/>
            </w:r>
            <w:r>
              <w:rPr>
                <w:noProof/>
                <w:webHidden/>
              </w:rPr>
              <w:fldChar w:fldCharType="begin"/>
            </w:r>
            <w:r>
              <w:rPr>
                <w:noProof/>
                <w:webHidden/>
              </w:rPr>
              <w:instrText xml:space="preserve"> PAGEREF _Toc139446070 \h </w:instrText>
            </w:r>
            <w:r>
              <w:rPr>
                <w:noProof/>
                <w:webHidden/>
              </w:rPr>
            </w:r>
            <w:r>
              <w:rPr>
                <w:noProof/>
                <w:webHidden/>
              </w:rPr>
              <w:fldChar w:fldCharType="separate"/>
            </w:r>
            <w:r w:rsidR="00672BD6">
              <w:rPr>
                <w:noProof/>
                <w:webHidden/>
              </w:rPr>
              <w:t>5</w:t>
            </w:r>
            <w:r>
              <w:rPr>
                <w:noProof/>
                <w:webHidden/>
              </w:rPr>
              <w:fldChar w:fldCharType="end"/>
            </w:r>
          </w:hyperlink>
        </w:p>
        <w:p w14:paraId="027A53D8" w14:textId="2FD2B3C7"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71" w:history="1">
            <w:r w:rsidRPr="00162DE2">
              <w:rPr>
                <w:rStyle w:val="Hyperlink"/>
                <w:caps/>
                <w:noProof/>
              </w:rPr>
              <w:t>6.</w:t>
            </w:r>
            <w:r>
              <w:rPr>
                <w:rFonts w:asciiTheme="minorHAnsi" w:eastAsiaTheme="minorEastAsia" w:hAnsiTheme="minorHAnsi"/>
                <w:noProof/>
                <w:kern w:val="2"/>
                <w:sz w:val="22"/>
                <w:szCs w:val="22"/>
                <w:lang w:eastAsia="en-IE"/>
                <w14:ligatures w14:val="standardContextual"/>
              </w:rPr>
              <w:tab/>
            </w:r>
            <w:r w:rsidRPr="00162DE2">
              <w:rPr>
                <w:rStyle w:val="Hyperlink"/>
                <w:noProof/>
              </w:rPr>
              <w:t>When can trustees purchase sovereign annuities?</w:t>
            </w:r>
            <w:r>
              <w:rPr>
                <w:noProof/>
                <w:webHidden/>
              </w:rPr>
              <w:tab/>
            </w:r>
            <w:r>
              <w:rPr>
                <w:noProof/>
                <w:webHidden/>
              </w:rPr>
              <w:fldChar w:fldCharType="begin"/>
            </w:r>
            <w:r>
              <w:rPr>
                <w:noProof/>
                <w:webHidden/>
              </w:rPr>
              <w:instrText xml:space="preserve"> PAGEREF _Toc139446071 \h </w:instrText>
            </w:r>
            <w:r>
              <w:rPr>
                <w:noProof/>
                <w:webHidden/>
              </w:rPr>
            </w:r>
            <w:r>
              <w:rPr>
                <w:noProof/>
                <w:webHidden/>
              </w:rPr>
              <w:fldChar w:fldCharType="separate"/>
            </w:r>
            <w:r w:rsidR="00672BD6">
              <w:rPr>
                <w:noProof/>
                <w:webHidden/>
              </w:rPr>
              <w:t>5</w:t>
            </w:r>
            <w:r>
              <w:rPr>
                <w:noProof/>
                <w:webHidden/>
              </w:rPr>
              <w:fldChar w:fldCharType="end"/>
            </w:r>
          </w:hyperlink>
        </w:p>
        <w:p w14:paraId="29EF4157" w14:textId="732679C2"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72" w:history="1">
            <w:r w:rsidRPr="00162DE2">
              <w:rPr>
                <w:rStyle w:val="Hyperlink"/>
                <w:caps/>
                <w:noProof/>
              </w:rPr>
              <w:t>7.</w:t>
            </w:r>
            <w:r>
              <w:rPr>
                <w:rFonts w:asciiTheme="minorHAnsi" w:eastAsiaTheme="minorEastAsia" w:hAnsiTheme="minorHAnsi"/>
                <w:noProof/>
                <w:kern w:val="2"/>
                <w:sz w:val="22"/>
                <w:szCs w:val="22"/>
                <w:lang w:eastAsia="en-IE"/>
                <w14:ligatures w14:val="standardContextual"/>
              </w:rPr>
              <w:tab/>
            </w:r>
            <w:r w:rsidRPr="00162DE2">
              <w:rPr>
                <w:rStyle w:val="Hyperlink"/>
                <w:noProof/>
              </w:rPr>
              <w:t>Should trustees purchase sovereign annuities?</w:t>
            </w:r>
            <w:r>
              <w:rPr>
                <w:noProof/>
                <w:webHidden/>
              </w:rPr>
              <w:tab/>
            </w:r>
            <w:r>
              <w:rPr>
                <w:noProof/>
                <w:webHidden/>
              </w:rPr>
              <w:fldChar w:fldCharType="begin"/>
            </w:r>
            <w:r>
              <w:rPr>
                <w:noProof/>
                <w:webHidden/>
              </w:rPr>
              <w:instrText xml:space="preserve"> PAGEREF _Toc139446072 \h </w:instrText>
            </w:r>
            <w:r>
              <w:rPr>
                <w:noProof/>
                <w:webHidden/>
              </w:rPr>
            </w:r>
            <w:r>
              <w:rPr>
                <w:noProof/>
                <w:webHidden/>
              </w:rPr>
              <w:fldChar w:fldCharType="separate"/>
            </w:r>
            <w:r w:rsidR="00672BD6">
              <w:rPr>
                <w:noProof/>
                <w:webHidden/>
              </w:rPr>
              <w:t>6</w:t>
            </w:r>
            <w:r>
              <w:rPr>
                <w:noProof/>
                <w:webHidden/>
              </w:rPr>
              <w:fldChar w:fldCharType="end"/>
            </w:r>
          </w:hyperlink>
        </w:p>
        <w:p w14:paraId="5AAA5F1A" w14:textId="4EA59B8B"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73" w:history="1">
            <w:r w:rsidRPr="00162DE2">
              <w:rPr>
                <w:rStyle w:val="Hyperlink"/>
                <w:caps/>
                <w:noProof/>
              </w:rPr>
              <w:t>8.</w:t>
            </w:r>
            <w:r>
              <w:rPr>
                <w:rFonts w:asciiTheme="minorHAnsi" w:eastAsiaTheme="minorEastAsia" w:hAnsiTheme="minorHAnsi"/>
                <w:noProof/>
                <w:kern w:val="2"/>
                <w:sz w:val="22"/>
                <w:szCs w:val="22"/>
                <w:lang w:eastAsia="en-IE"/>
                <w14:ligatures w14:val="standardContextual"/>
              </w:rPr>
              <w:tab/>
            </w:r>
            <w:r w:rsidRPr="00162DE2">
              <w:rPr>
                <w:rStyle w:val="Hyperlink"/>
                <w:noProof/>
              </w:rPr>
              <w:t>Can trustees be liable for breach of trust if they purchase sovereign annuities and payments are subsequently reduced?</w:t>
            </w:r>
            <w:r>
              <w:rPr>
                <w:noProof/>
                <w:webHidden/>
              </w:rPr>
              <w:tab/>
            </w:r>
            <w:r>
              <w:rPr>
                <w:noProof/>
                <w:webHidden/>
              </w:rPr>
              <w:fldChar w:fldCharType="begin"/>
            </w:r>
            <w:r>
              <w:rPr>
                <w:noProof/>
                <w:webHidden/>
              </w:rPr>
              <w:instrText xml:space="preserve"> PAGEREF _Toc139446073 \h </w:instrText>
            </w:r>
            <w:r>
              <w:rPr>
                <w:noProof/>
                <w:webHidden/>
              </w:rPr>
            </w:r>
            <w:r>
              <w:rPr>
                <w:noProof/>
                <w:webHidden/>
              </w:rPr>
              <w:fldChar w:fldCharType="separate"/>
            </w:r>
            <w:r w:rsidR="00672BD6">
              <w:rPr>
                <w:noProof/>
                <w:webHidden/>
              </w:rPr>
              <w:t>6</w:t>
            </w:r>
            <w:r>
              <w:rPr>
                <w:noProof/>
                <w:webHidden/>
              </w:rPr>
              <w:fldChar w:fldCharType="end"/>
            </w:r>
          </w:hyperlink>
        </w:p>
        <w:p w14:paraId="550F57A3" w14:textId="1E1E43BC"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74" w:history="1">
            <w:r w:rsidRPr="00162DE2">
              <w:rPr>
                <w:rStyle w:val="Hyperlink"/>
                <w:caps/>
                <w:noProof/>
              </w:rPr>
              <w:t>9.</w:t>
            </w:r>
            <w:r>
              <w:rPr>
                <w:rFonts w:asciiTheme="minorHAnsi" w:eastAsiaTheme="minorEastAsia" w:hAnsiTheme="minorHAnsi"/>
                <w:noProof/>
                <w:kern w:val="2"/>
                <w:sz w:val="22"/>
                <w:szCs w:val="22"/>
                <w:lang w:eastAsia="en-IE"/>
                <w14:ligatures w14:val="standardContextual"/>
              </w:rPr>
              <w:tab/>
            </w:r>
            <w:r w:rsidRPr="00162DE2">
              <w:rPr>
                <w:rStyle w:val="Hyperlink"/>
                <w:noProof/>
              </w:rPr>
              <w:t>How do sovereign annuities work?</w:t>
            </w:r>
            <w:r>
              <w:rPr>
                <w:noProof/>
                <w:webHidden/>
              </w:rPr>
              <w:tab/>
            </w:r>
            <w:r>
              <w:rPr>
                <w:noProof/>
                <w:webHidden/>
              </w:rPr>
              <w:fldChar w:fldCharType="begin"/>
            </w:r>
            <w:r>
              <w:rPr>
                <w:noProof/>
                <w:webHidden/>
              </w:rPr>
              <w:instrText xml:space="preserve"> PAGEREF _Toc139446074 \h </w:instrText>
            </w:r>
            <w:r>
              <w:rPr>
                <w:noProof/>
                <w:webHidden/>
              </w:rPr>
            </w:r>
            <w:r>
              <w:rPr>
                <w:noProof/>
                <w:webHidden/>
              </w:rPr>
              <w:fldChar w:fldCharType="separate"/>
            </w:r>
            <w:r w:rsidR="00672BD6">
              <w:rPr>
                <w:noProof/>
                <w:webHidden/>
              </w:rPr>
              <w:t>6</w:t>
            </w:r>
            <w:r>
              <w:rPr>
                <w:noProof/>
                <w:webHidden/>
              </w:rPr>
              <w:fldChar w:fldCharType="end"/>
            </w:r>
          </w:hyperlink>
        </w:p>
        <w:p w14:paraId="48A1F755" w14:textId="09114529"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75" w:history="1">
            <w:r w:rsidRPr="00162DE2">
              <w:rPr>
                <w:rStyle w:val="Hyperlink"/>
                <w:caps/>
                <w:noProof/>
              </w:rPr>
              <w:t>10.</w:t>
            </w:r>
            <w:r>
              <w:rPr>
                <w:rFonts w:asciiTheme="minorHAnsi" w:eastAsiaTheme="minorEastAsia" w:hAnsiTheme="minorHAnsi"/>
                <w:noProof/>
                <w:kern w:val="2"/>
                <w:sz w:val="22"/>
                <w:szCs w:val="22"/>
                <w:lang w:eastAsia="en-IE"/>
                <w14:ligatures w14:val="standardContextual"/>
              </w:rPr>
              <w:tab/>
            </w:r>
            <w:r w:rsidRPr="00162DE2">
              <w:rPr>
                <w:rStyle w:val="Hyperlink"/>
                <w:noProof/>
              </w:rPr>
              <w:t>What is the cashflow basis?</w:t>
            </w:r>
            <w:r>
              <w:rPr>
                <w:noProof/>
                <w:webHidden/>
              </w:rPr>
              <w:tab/>
            </w:r>
            <w:r>
              <w:rPr>
                <w:noProof/>
                <w:webHidden/>
              </w:rPr>
              <w:fldChar w:fldCharType="begin"/>
            </w:r>
            <w:r>
              <w:rPr>
                <w:noProof/>
                <w:webHidden/>
              </w:rPr>
              <w:instrText xml:space="preserve"> PAGEREF _Toc139446075 \h </w:instrText>
            </w:r>
            <w:r>
              <w:rPr>
                <w:noProof/>
                <w:webHidden/>
              </w:rPr>
            </w:r>
            <w:r>
              <w:rPr>
                <w:noProof/>
                <w:webHidden/>
              </w:rPr>
              <w:fldChar w:fldCharType="separate"/>
            </w:r>
            <w:r w:rsidR="00672BD6">
              <w:rPr>
                <w:noProof/>
                <w:webHidden/>
              </w:rPr>
              <w:t>6</w:t>
            </w:r>
            <w:r>
              <w:rPr>
                <w:noProof/>
                <w:webHidden/>
              </w:rPr>
              <w:fldChar w:fldCharType="end"/>
            </w:r>
          </w:hyperlink>
        </w:p>
        <w:p w14:paraId="089A6008" w14:textId="1527E2D6"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76" w:history="1">
            <w:r w:rsidRPr="00162DE2">
              <w:rPr>
                <w:rStyle w:val="Hyperlink"/>
                <w:caps/>
                <w:noProof/>
              </w:rPr>
              <w:t>11.</w:t>
            </w:r>
            <w:r>
              <w:rPr>
                <w:rFonts w:asciiTheme="minorHAnsi" w:eastAsiaTheme="minorEastAsia" w:hAnsiTheme="minorHAnsi"/>
                <w:noProof/>
                <w:kern w:val="2"/>
                <w:sz w:val="22"/>
                <w:szCs w:val="22"/>
                <w:lang w:eastAsia="en-IE"/>
                <w14:ligatures w14:val="standardContextual"/>
              </w:rPr>
              <w:tab/>
            </w:r>
            <w:r w:rsidRPr="00162DE2">
              <w:rPr>
                <w:rStyle w:val="Hyperlink"/>
                <w:noProof/>
              </w:rPr>
              <w:t>Can payments under a sovereign annuity be referenced to more than one bond?</w:t>
            </w:r>
            <w:r>
              <w:rPr>
                <w:noProof/>
                <w:webHidden/>
              </w:rPr>
              <w:tab/>
            </w:r>
            <w:r>
              <w:rPr>
                <w:noProof/>
                <w:webHidden/>
              </w:rPr>
              <w:fldChar w:fldCharType="begin"/>
            </w:r>
            <w:r>
              <w:rPr>
                <w:noProof/>
                <w:webHidden/>
              </w:rPr>
              <w:instrText xml:space="preserve"> PAGEREF _Toc139446076 \h </w:instrText>
            </w:r>
            <w:r>
              <w:rPr>
                <w:noProof/>
                <w:webHidden/>
              </w:rPr>
            </w:r>
            <w:r>
              <w:rPr>
                <w:noProof/>
                <w:webHidden/>
              </w:rPr>
              <w:fldChar w:fldCharType="separate"/>
            </w:r>
            <w:r w:rsidR="00672BD6">
              <w:rPr>
                <w:noProof/>
                <w:webHidden/>
              </w:rPr>
              <w:t>7</w:t>
            </w:r>
            <w:r>
              <w:rPr>
                <w:noProof/>
                <w:webHidden/>
              </w:rPr>
              <w:fldChar w:fldCharType="end"/>
            </w:r>
          </w:hyperlink>
        </w:p>
        <w:p w14:paraId="2562D8D1" w14:textId="4BAFF9CB"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77" w:history="1">
            <w:r w:rsidRPr="00162DE2">
              <w:rPr>
                <w:rStyle w:val="Hyperlink"/>
                <w:caps/>
                <w:noProof/>
              </w:rPr>
              <w:t>12.</w:t>
            </w:r>
            <w:r>
              <w:rPr>
                <w:rFonts w:asciiTheme="minorHAnsi" w:eastAsiaTheme="minorEastAsia" w:hAnsiTheme="minorHAnsi"/>
                <w:noProof/>
                <w:kern w:val="2"/>
                <w:sz w:val="22"/>
                <w:szCs w:val="22"/>
                <w:lang w:eastAsia="en-IE"/>
                <w14:ligatures w14:val="standardContextual"/>
              </w:rPr>
              <w:tab/>
            </w:r>
            <w:r w:rsidRPr="00162DE2">
              <w:rPr>
                <w:rStyle w:val="Hyperlink"/>
                <w:noProof/>
              </w:rPr>
              <w:t>What happens after maturity of the only or last reference bond?</w:t>
            </w:r>
            <w:r>
              <w:rPr>
                <w:noProof/>
                <w:webHidden/>
              </w:rPr>
              <w:tab/>
            </w:r>
            <w:r>
              <w:rPr>
                <w:noProof/>
                <w:webHidden/>
              </w:rPr>
              <w:fldChar w:fldCharType="begin"/>
            </w:r>
            <w:r>
              <w:rPr>
                <w:noProof/>
                <w:webHidden/>
              </w:rPr>
              <w:instrText xml:space="preserve"> PAGEREF _Toc139446077 \h </w:instrText>
            </w:r>
            <w:r>
              <w:rPr>
                <w:noProof/>
                <w:webHidden/>
              </w:rPr>
            </w:r>
            <w:r>
              <w:rPr>
                <w:noProof/>
                <w:webHidden/>
              </w:rPr>
              <w:fldChar w:fldCharType="separate"/>
            </w:r>
            <w:r w:rsidR="00672BD6">
              <w:rPr>
                <w:noProof/>
                <w:webHidden/>
              </w:rPr>
              <w:t>7</w:t>
            </w:r>
            <w:r>
              <w:rPr>
                <w:noProof/>
                <w:webHidden/>
              </w:rPr>
              <w:fldChar w:fldCharType="end"/>
            </w:r>
          </w:hyperlink>
        </w:p>
        <w:p w14:paraId="5C248F75" w14:textId="02FC767B"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78" w:history="1">
            <w:r w:rsidRPr="00162DE2">
              <w:rPr>
                <w:rStyle w:val="Hyperlink"/>
                <w:caps/>
                <w:noProof/>
              </w:rPr>
              <w:t>13.</w:t>
            </w:r>
            <w:r>
              <w:rPr>
                <w:rFonts w:asciiTheme="minorHAnsi" w:eastAsiaTheme="minorEastAsia" w:hAnsiTheme="minorHAnsi"/>
                <w:noProof/>
                <w:kern w:val="2"/>
                <w:sz w:val="22"/>
                <w:szCs w:val="22"/>
                <w:lang w:eastAsia="en-IE"/>
                <w14:ligatures w14:val="standardContextual"/>
              </w:rPr>
              <w:tab/>
            </w:r>
            <w:r w:rsidRPr="00162DE2">
              <w:rPr>
                <w:rStyle w:val="Hyperlink"/>
                <w:noProof/>
              </w:rPr>
              <w:t>Can new reference bonds be substituted for existing reference bonds during the term of the policy?</w:t>
            </w:r>
            <w:r>
              <w:rPr>
                <w:noProof/>
                <w:webHidden/>
              </w:rPr>
              <w:tab/>
            </w:r>
            <w:r>
              <w:rPr>
                <w:noProof/>
                <w:webHidden/>
              </w:rPr>
              <w:fldChar w:fldCharType="begin"/>
            </w:r>
            <w:r>
              <w:rPr>
                <w:noProof/>
                <w:webHidden/>
              </w:rPr>
              <w:instrText xml:space="preserve"> PAGEREF _Toc139446078 \h </w:instrText>
            </w:r>
            <w:r>
              <w:rPr>
                <w:noProof/>
                <w:webHidden/>
              </w:rPr>
            </w:r>
            <w:r>
              <w:rPr>
                <w:noProof/>
                <w:webHidden/>
              </w:rPr>
              <w:fldChar w:fldCharType="separate"/>
            </w:r>
            <w:r w:rsidR="00672BD6">
              <w:rPr>
                <w:noProof/>
                <w:webHidden/>
              </w:rPr>
              <w:t>7</w:t>
            </w:r>
            <w:r>
              <w:rPr>
                <w:noProof/>
                <w:webHidden/>
              </w:rPr>
              <w:fldChar w:fldCharType="end"/>
            </w:r>
          </w:hyperlink>
        </w:p>
        <w:p w14:paraId="01A06AED" w14:textId="5AD32A69"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79" w:history="1">
            <w:r w:rsidRPr="00162DE2">
              <w:rPr>
                <w:rStyle w:val="Hyperlink"/>
                <w:caps/>
                <w:noProof/>
              </w:rPr>
              <w:t>14.</w:t>
            </w:r>
            <w:r>
              <w:rPr>
                <w:rFonts w:asciiTheme="minorHAnsi" w:eastAsiaTheme="minorEastAsia" w:hAnsiTheme="minorHAnsi"/>
                <w:noProof/>
                <w:kern w:val="2"/>
                <w:sz w:val="22"/>
                <w:szCs w:val="22"/>
                <w:lang w:eastAsia="en-IE"/>
                <w14:ligatures w14:val="standardContextual"/>
              </w:rPr>
              <w:tab/>
            </w:r>
            <w:r w:rsidRPr="00162DE2">
              <w:rPr>
                <w:rStyle w:val="Hyperlink"/>
                <w:noProof/>
              </w:rPr>
              <w:t>What is an event of non-performance?</w:t>
            </w:r>
            <w:r>
              <w:rPr>
                <w:noProof/>
                <w:webHidden/>
              </w:rPr>
              <w:tab/>
            </w:r>
            <w:r>
              <w:rPr>
                <w:noProof/>
                <w:webHidden/>
              </w:rPr>
              <w:fldChar w:fldCharType="begin"/>
            </w:r>
            <w:r>
              <w:rPr>
                <w:noProof/>
                <w:webHidden/>
              </w:rPr>
              <w:instrText xml:space="preserve"> PAGEREF _Toc139446079 \h </w:instrText>
            </w:r>
            <w:r>
              <w:rPr>
                <w:noProof/>
                <w:webHidden/>
              </w:rPr>
            </w:r>
            <w:r>
              <w:rPr>
                <w:noProof/>
                <w:webHidden/>
              </w:rPr>
              <w:fldChar w:fldCharType="separate"/>
            </w:r>
            <w:r w:rsidR="00672BD6">
              <w:rPr>
                <w:noProof/>
                <w:webHidden/>
              </w:rPr>
              <w:t>8</w:t>
            </w:r>
            <w:r>
              <w:rPr>
                <w:noProof/>
                <w:webHidden/>
              </w:rPr>
              <w:fldChar w:fldCharType="end"/>
            </w:r>
          </w:hyperlink>
        </w:p>
        <w:p w14:paraId="0232BD66" w14:textId="41522FC2"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80" w:history="1">
            <w:r w:rsidRPr="00162DE2">
              <w:rPr>
                <w:rStyle w:val="Hyperlink"/>
                <w:caps/>
                <w:noProof/>
              </w:rPr>
              <w:t>15.</w:t>
            </w:r>
            <w:r>
              <w:rPr>
                <w:rFonts w:asciiTheme="minorHAnsi" w:eastAsiaTheme="minorEastAsia" w:hAnsiTheme="minorHAnsi"/>
                <w:noProof/>
                <w:kern w:val="2"/>
                <w:sz w:val="22"/>
                <w:szCs w:val="22"/>
                <w:lang w:eastAsia="en-IE"/>
                <w14:ligatures w14:val="standardContextual"/>
              </w:rPr>
              <w:tab/>
            </w:r>
            <w:r w:rsidRPr="00162DE2">
              <w:rPr>
                <w:rStyle w:val="Hyperlink"/>
                <w:noProof/>
              </w:rPr>
              <w:t>What is not an event of non-performance?</w:t>
            </w:r>
            <w:r>
              <w:rPr>
                <w:noProof/>
                <w:webHidden/>
              </w:rPr>
              <w:tab/>
            </w:r>
            <w:r>
              <w:rPr>
                <w:noProof/>
                <w:webHidden/>
              </w:rPr>
              <w:fldChar w:fldCharType="begin"/>
            </w:r>
            <w:r>
              <w:rPr>
                <w:noProof/>
                <w:webHidden/>
              </w:rPr>
              <w:instrText xml:space="preserve"> PAGEREF _Toc139446080 \h </w:instrText>
            </w:r>
            <w:r>
              <w:rPr>
                <w:noProof/>
                <w:webHidden/>
              </w:rPr>
            </w:r>
            <w:r>
              <w:rPr>
                <w:noProof/>
                <w:webHidden/>
              </w:rPr>
              <w:fldChar w:fldCharType="separate"/>
            </w:r>
            <w:r w:rsidR="00672BD6">
              <w:rPr>
                <w:noProof/>
                <w:webHidden/>
              </w:rPr>
              <w:t>8</w:t>
            </w:r>
            <w:r>
              <w:rPr>
                <w:noProof/>
                <w:webHidden/>
              </w:rPr>
              <w:fldChar w:fldCharType="end"/>
            </w:r>
          </w:hyperlink>
        </w:p>
        <w:p w14:paraId="6F98A77A" w14:textId="39BDD64A"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81" w:history="1">
            <w:r w:rsidRPr="00162DE2">
              <w:rPr>
                <w:rStyle w:val="Hyperlink"/>
                <w:caps/>
                <w:noProof/>
              </w:rPr>
              <w:t>16.</w:t>
            </w:r>
            <w:r>
              <w:rPr>
                <w:rFonts w:asciiTheme="minorHAnsi" w:eastAsiaTheme="minorEastAsia" w:hAnsiTheme="minorHAnsi"/>
                <w:noProof/>
                <w:kern w:val="2"/>
                <w:sz w:val="22"/>
                <w:szCs w:val="22"/>
                <w:lang w:eastAsia="en-IE"/>
                <w14:ligatures w14:val="standardContextual"/>
              </w:rPr>
              <w:tab/>
            </w:r>
            <w:r w:rsidRPr="00162DE2">
              <w:rPr>
                <w:rStyle w:val="Hyperlink"/>
                <w:noProof/>
              </w:rPr>
              <w:t>How is the reduction in payments calculated following an event of non-performance?</w:t>
            </w:r>
            <w:r>
              <w:rPr>
                <w:noProof/>
                <w:webHidden/>
              </w:rPr>
              <w:tab/>
            </w:r>
            <w:r>
              <w:rPr>
                <w:noProof/>
                <w:webHidden/>
              </w:rPr>
              <w:fldChar w:fldCharType="begin"/>
            </w:r>
            <w:r>
              <w:rPr>
                <w:noProof/>
                <w:webHidden/>
              </w:rPr>
              <w:instrText xml:space="preserve"> PAGEREF _Toc139446081 \h </w:instrText>
            </w:r>
            <w:r>
              <w:rPr>
                <w:noProof/>
                <w:webHidden/>
              </w:rPr>
            </w:r>
            <w:r>
              <w:rPr>
                <w:noProof/>
                <w:webHidden/>
              </w:rPr>
              <w:fldChar w:fldCharType="separate"/>
            </w:r>
            <w:r w:rsidR="00672BD6">
              <w:rPr>
                <w:noProof/>
                <w:webHidden/>
              </w:rPr>
              <w:t>8</w:t>
            </w:r>
            <w:r>
              <w:rPr>
                <w:noProof/>
                <w:webHidden/>
              </w:rPr>
              <w:fldChar w:fldCharType="end"/>
            </w:r>
          </w:hyperlink>
        </w:p>
        <w:p w14:paraId="4E5DEC37" w14:textId="248EE306"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82" w:history="1">
            <w:r w:rsidRPr="00162DE2">
              <w:rPr>
                <w:rStyle w:val="Hyperlink"/>
                <w:caps/>
                <w:noProof/>
              </w:rPr>
              <w:t>17.</w:t>
            </w:r>
            <w:r>
              <w:rPr>
                <w:rFonts w:asciiTheme="minorHAnsi" w:eastAsiaTheme="minorEastAsia" w:hAnsiTheme="minorHAnsi"/>
                <w:noProof/>
                <w:kern w:val="2"/>
                <w:sz w:val="22"/>
                <w:szCs w:val="22"/>
                <w:lang w:eastAsia="en-IE"/>
                <w14:ligatures w14:val="standardContextual"/>
              </w:rPr>
              <w:tab/>
            </w:r>
            <w:r w:rsidRPr="00162DE2">
              <w:rPr>
                <w:rStyle w:val="Hyperlink"/>
                <w:noProof/>
              </w:rPr>
              <w:t>What other requirements are there when an insurer is determining the reduction to be applied following an event of non-performance?</w:t>
            </w:r>
            <w:r>
              <w:rPr>
                <w:noProof/>
                <w:webHidden/>
              </w:rPr>
              <w:tab/>
            </w:r>
            <w:r>
              <w:rPr>
                <w:noProof/>
                <w:webHidden/>
              </w:rPr>
              <w:fldChar w:fldCharType="begin"/>
            </w:r>
            <w:r>
              <w:rPr>
                <w:noProof/>
                <w:webHidden/>
              </w:rPr>
              <w:instrText xml:space="preserve"> PAGEREF _Toc139446082 \h </w:instrText>
            </w:r>
            <w:r>
              <w:rPr>
                <w:noProof/>
                <w:webHidden/>
              </w:rPr>
            </w:r>
            <w:r>
              <w:rPr>
                <w:noProof/>
                <w:webHidden/>
              </w:rPr>
              <w:fldChar w:fldCharType="separate"/>
            </w:r>
            <w:r w:rsidR="00672BD6">
              <w:rPr>
                <w:noProof/>
                <w:webHidden/>
              </w:rPr>
              <w:t>8</w:t>
            </w:r>
            <w:r>
              <w:rPr>
                <w:noProof/>
                <w:webHidden/>
              </w:rPr>
              <w:fldChar w:fldCharType="end"/>
            </w:r>
          </w:hyperlink>
        </w:p>
        <w:p w14:paraId="043BD313" w14:textId="049377B0"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83" w:history="1">
            <w:r w:rsidRPr="00162DE2">
              <w:rPr>
                <w:rStyle w:val="Hyperlink"/>
                <w:caps/>
                <w:noProof/>
              </w:rPr>
              <w:t>18.</w:t>
            </w:r>
            <w:r>
              <w:rPr>
                <w:rFonts w:asciiTheme="minorHAnsi" w:eastAsiaTheme="minorEastAsia" w:hAnsiTheme="minorHAnsi"/>
                <w:noProof/>
                <w:kern w:val="2"/>
                <w:sz w:val="22"/>
                <w:szCs w:val="22"/>
                <w:lang w:eastAsia="en-IE"/>
                <w14:ligatures w14:val="standardContextual"/>
              </w:rPr>
              <w:tab/>
            </w:r>
            <w:r w:rsidRPr="00162DE2">
              <w:rPr>
                <w:rStyle w:val="Hyperlink"/>
                <w:noProof/>
              </w:rPr>
              <w:t>What are the time limits and notification obligations on insurers surrounding making a reduction following an event of non-performance?</w:t>
            </w:r>
            <w:r>
              <w:rPr>
                <w:noProof/>
                <w:webHidden/>
              </w:rPr>
              <w:tab/>
            </w:r>
            <w:r>
              <w:rPr>
                <w:noProof/>
                <w:webHidden/>
              </w:rPr>
              <w:fldChar w:fldCharType="begin"/>
            </w:r>
            <w:r>
              <w:rPr>
                <w:noProof/>
                <w:webHidden/>
              </w:rPr>
              <w:instrText xml:space="preserve"> PAGEREF _Toc139446083 \h </w:instrText>
            </w:r>
            <w:r>
              <w:rPr>
                <w:noProof/>
                <w:webHidden/>
              </w:rPr>
            </w:r>
            <w:r>
              <w:rPr>
                <w:noProof/>
                <w:webHidden/>
              </w:rPr>
              <w:fldChar w:fldCharType="separate"/>
            </w:r>
            <w:r w:rsidR="00672BD6">
              <w:rPr>
                <w:noProof/>
                <w:webHidden/>
              </w:rPr>
              <w:t>9</w:t>
            </w:r>
            <w:r>
              <w:rPr>
                <w:noProof/>
                <w:webHidden/>
              </w:rPr>
              <w:fldChar w:fldCharType="end"/>
            </w:r>
          </w:hyperlink>
        </w:p>
        <w:p w14:paraId="061D3242" w14:textId="040092FA"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84" w:history="1">
            <w:r w:rsidRPr="00162DE2">
              <w:rPr>
                <w:rStyle w:val="Hyperlink"/>
                <w:caps/>
                <w:noProof/>
              </w:rPr>
              <w:t>19.</w:t>
            </w:r>
            <w:r>
              <w:rPr>
                <w:rFonts w:asciiTheme="minorHAnsi" w:eastAsiaTheme="minorEastAsia" w:hAnsiTheme="minorHAnsi"/>
                <w:noProof/>
                <w:kern w:val="2"/>
                <w:sz w:val="22"/>
                <w:szCs w:val="22"/>
                <w:lang w:eastAsia="en-IE"/>
                <w14:ligatures w14:val="standardContextual"/>
              </w:rPr>
              <w:tab/>
            </w:r>
            <w:r w:rsidRPr="00162DE2">
              <w:rPr>
                <w:rStyle w:val="Hyperlink"/>
                <w:noProof/>
              </w:rPr>
              <w:t>After reduction, can payments be restored?</w:t>
            </w:r>
            <w:r>
              <w:rPr>
                <w:noProof/>
                <w:webHidden/>
              </w:rPr>
              <w:tab/>
            </w:r>
            <w:r>
              <w:rPr>
                <w:noProof/>
                <w:webHidden/>
              </w:rPr>
              <w:fldChar w:fldCharType="begin"/>
            </w:r>
            <w:r>
              <w:rPr>
                <w:noProof/>
                <w:webHidden/>
              </w:rPr>
              <w:instrText xml:space="preserve"> PAGEREF _Toc139446084 \h </w:instrText>
            </w:r>
            <w:r>
              <w:rPr>
                <w:noProof/>
                <w:webHidden/>
              </w:rPr>
            </w:r>
            <w:r>
              <w:rPr>
                <w:noProof/>
                <w:webHidden/>
              </w:rPr>
              <w:fldChar w:fldCharType="separate"/>
            </w:r>
            <w:r w:rsidR="00672BD6">
              <w:rPr>
                <w:noProof/>
                <w:webHidden/>
              </w:rPr>
              <w:t>10</w:t>
            </w:r>
            <w:r>
              <w:rPr>
                <w:noProof/>
                <w:webHidden/>
              </w:rPr>
              <w:fldChar w:fldCharType="end"/>
            </w:r>
          </w:hyperlink>
        </w:p>
        <w:p w14:paraId="291DC3DA" w14:textId="6E7945E1"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85" w:history="1">
            <w:r w:rsidRPr="00162DE2">
              <w:rPr>
                <w:rStyle w:val="Hyperlink"/>
                <w:caps/>
                <w:noProof/>
              </w:rPr>
              <w:t>20.</w:t>
            </w:r>
            <w:r>
              <w:rPr>
                <w:rFonts w:asciiTheme="minorHAnsi" w:eastAsiaTheme="minorEastAsia" w:hAnsiTheme="minorHAnsi"/>
                <w:noProof/>
                <w:kern w:val="2"/>
                <w:sz w:val="22"/>
                <w:szCs w:val="22"/>
                <w:lang w:eastAsia="en-IE"/>
                <w14:ligatures w14:val="standardContextual"/>
              </w:rPr>
              <w:tab/>
            </w:r>
            <w:r w:rsidRPr="00162DE2">
              <w:rPr>
                <w:rStyle w:val="Hyperlink"/>
                <w:noProof/>
              </w:rPr>
              <w:t>What is an event of recovery?</w:t>
            </w:r>
            <w:r>
              <w:rPr>
                <w:noProof/>
                <w:webHidden/>
              </w:rPr>
              <w:tab/>
            </w:r>
            <w:r>
              <w:rPr>
                <w:noProof/>
                <w:webHidden/>
              </w:rPr>
              <w:fldChar w:fldCharType="begin"/>
            </w:r>
            <w:r>
              <w:rPr>
                <w:noProof/>
                <w:webHidden/>
              </w:rPr>
              <w:instrText xml:space="preserve"> PAGEREF _Toc139446085 \h </w:instrText>
            </w:r>
            <w:r>
              <w:rPr>
                <w:noProof/>
                <w:webHidden/>
              </w:rPr>
            </w:r>
            <w:r>
              <w:rPr>
                <w:noProof/>
                <w:webHidden/>
              </w:rPr>
              <w:fldChar w:fldCharType="separate"/>
            </w:r>
            <w:r w:rsidR="00672BD6">
              <w:rPr>
                <w:noProof/>
                <w:webHidden/>
              </w:rPr>
              <w:t>10</w:t>
            </w:r>
            <w:r>
              <w:rPr>
                <w:noProof/>
                <w:webHidden/>
              </w:rPr>
              <w:fldChar w:fldCharType="end"/>
            </w:r>
          </w:hyperlink>
        </w:p>
        <w:p w14:paraId="75EF4CAC" w14:textId="29C39F93"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86" w:history="1">
            <w:r w:rsidRPr="00162DE2">
              <w:rPr>
                <w:rStyle w:val="Hyperlink"/>
                <w:caps/>
                <w:noProof/>
              </w:rPr>
              <w:t>21.</w:t>
            </w:r>
            <w:r>
              <w:rPr>
                <w:rFonts w:asciiTheme="minorHAnsi" w:eastAsiaTheme="minorEastAsia" w:hAnsiTheme="minorHAnsi"/>
                <w:noProof/>
                <w:kern w:val="2"/>
                <w:sz w:val="22"/>
                <w:szCs w:val="22"/>
                <w:lang w:eastAsia="en-IE"/>
                <w14:ligatures w14:val="standardContextual"/>
              </w:rPr>
              <w:tab/>
            </w:r>
            <w:r w:rsidRPr="00162DE2">
              <w:rPr>
                <w:rStyle w:val="Hyperlink"/>
                <w:noProof/>
              </w:rPr>
              <w:t>Does the insurer have discretion as to whether to increase payments where an event of recovery occurs?</w:t>
            </w:r>
            <w:r>
              <w:rPr>
                <w:noProof/>
                <w:webHidden/>
              </w:rPr>
              <w:tab/>
            </w:r>
            <w:r>
              <w:rPr>
                <w:noProof/>
                <w:webHidden/>
              </w:rPr>
              <w:fldChar w:fldCharType="begin"/>
            </w:r>
            <w:r>
              <w:rPr>
                <w:noProof/>
                <w:webHidden/>
              </w:rPr>
              <w:instrText xml:space="preserve"> PAGEREF _Toc139446086 \h </w:instrText>
            </w:r>
            <w:r>
              <w:rPr>
                <w:noProof/>
                <w:webHidden/>
              </w:rPr>
            </w:r>
            <w:r>
              <w:rPr>
                <w:noProof/>
                <w:webHidden/>
              </w:rPr>
              <w:fldChar w:fldCharType="separate"/>
            </w:r>
            <w:r w:rsidR="00672BD6">
              <w:rPr>
                <w:noProof/>
                <w:webHidden/>
              </w:rPr>
              <w:t>10</w:t>
            </w:r>
            <w:r>
              <w:rPr>
                <w:noProof/>
                <w:webHidden/>
              </w:rPr>
              <w:fldChar w:fldCharType="end"/>
            </w:r>
          </w:hyperlink>
        </w:p>
        <w:p w14:paraId="785D5173" w14:textId="7C64CD38"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87" w:history="1">
            <w:r w:rsidRPr="00162DE2">
              <w:rPr>
                <w:rStyle w:val="Hyperlink"/>
                <w:caps/>
                <w:noProof/>
              </w:rPr>
              <w:t>22.</w:t>
            </w:r>
            <w:r>
              <w:rPr>
                <w:rFonts w:asciiTheme="minorHAnsi" w:eastAsiaTheme="minorEastAsia" w:hAnsiTheme="minorHAnsi"/>
                <w:noProof/>
                <w:kern w:val="2"/>
                <w:sz w:val="22"/>
                <w:szCs w:val="22"/>
                <w:lang w:eastAsia="en-IE"/>
                <w14:ligatures w14:val="standardContextual"/>
              </w:rPr>
              <w:tab/>
            </w:r>
            <w:r w:rsidRPr="00162DE2">
              <w:rPr>
                <w:rStyle w:val="Hyperlink"/>
                <w:noProof/>
              </w:rPr>
              <w:t>What are the time limits for making a restoration following an event of recovery?</w:t>
            </w:r>
            <w:r>
              <w:rPr>
                <w:noProof/>
                <w:webHidden/>
              </w:rPr>
              <w:tab/>
            </w:r>
            <w:r>
              <w:rPr>
                <w:noProof/>
                <w:webHidden/>
              </w:rPr>
              <w:fldChar w:fldCharType="begin"/>
            </w:r>
            <w:r>
              <w:rPr>
                <w:noProof/>
                <w:webHidden/>
              </w:rPr>
              <w:instrText xml:space="preserve"> PAGEREF _Toc139446087 \h </w:instrText>
            </w:r>
            <w:r>
              <w:rPr>
                <w:noProof/>
                <w:webHidden/>
              </w:rPr>
            </w:r>
            <w:r>
              <w:rPr>
                <w:noProof/>
                <w:webHidden/>
              </w:rPr>
              <w:fldChar w:fldCharType="separate"/>
            </w:r>
            <w:r w:rsidR="00672BD6">
              <w:rPr>
                <w:noProof/>
                <w:webHidden/>
              </w:rPr>
              <w:t>10</w:t>
            </w:r>
            <w:r>
              <w:rPr>
                <w:noProof/>
                <w:webHidden/>
              </w:rPr>
              <w:fldChar w:fldCharType="end"/>
            </w:r>
          </w:hyperlink>
        </w:p>
        <w:p w14:paraId="2F0AA96E" w14:textId="2577157A"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88" w:history="1">
            <w:r w:rsidRPr="00162DE2">
              <w:rPr>
                <w:rStyle w:val="Hyperlink"/>
                <w:caps/>
                <w:noProof/>
              </w:rPr>
              <w:t>23.</w:t>
            </w:r>
            <w:r>
              <w:rPr>
                <w:rFonts w:asciiTheme="minorHAnsi" w:eastAsiaTheme="minorEastAsia" w:hAnsiTheme="minorHAnsi"/>
                <w:noProof/>
                <w:kern w:val="2"/>
                <w:sz w:val="22"/>
                <w:szCs w:val="22"/>
                <w:lang w:eastAsia="en-IE"/>
                <w14:ligatures w14:val="standardContextual"/>
              </w:rPr>
              <w:tab/>
            </w:r>
            <w:r w:rsidRPr="00162DE2">
              <w:rPr>
                <w:rStyle w:val="Hyperlink"/>
                <w:noProof/>
              </w:rPr>
              <w:t>Must an insurer provide a copy of the policy to the policyholder?</w:t>
            </w:r>
            <w:r>
              <w:rPr>
                <w:noProof/>
                <w:webHidden/>
              </w:rPr>
              <w:tab/>
            </w:r>
            <w:r>
              <w:rPr>
                <w:noProof/>
                <w:webHidden/>
              </w:rPr>
              <w:fldChar w:fldCharType="begin"/>
            </w:r>
            <w:r>
              <w:rPr>
                <w:noProof/>
                <w:webHidden/>
              </w:rPr>
              <w:instrText xml:space="preserve"> PAGEREF _Toc139446088 \h </w:instrText>
            </w:r>
            <w:r>
              <w:rPr>
                <w:noProof/>
                <w:webHidden/>
              </w:rPr>
            </w:r>
            <w:r>
              <w:rPr>
                <w:noProof/>
                <w:webHidden/>
              </w:rPr>
              <w:fldChar w:fldCharType="separate"/>
            </w:r>
            <w:r w:rsidR="00672BD6">
              <w:rPr>
                <w:noProof/>
                <w:webHidden/>
              </w:rPr>
              <w:t>11</w:t>
            </w:r>
            <w:r>
              <w:rPr>
                <w:noProof/>
                <w:webHidden/>
              </w:rPr>
              <w:fldChar w:fldCharType="end"/>
            </w:r>
          </w:hyperlink>
        </w:p>
        <w:p w14:paraId="4712B628" w14:textId="11AE8D41"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89" w:history="1">
            <w:r w:rsidRPr="00162DE2">
              <w:rPr>
                <w:rStyle w:val="Hyperlink"/>
                <w:caps/>
                <w:noProof/>
              </w:rPr>
              <w:t>24.</w:t>
            </w:r>
            <w:r>
              <w:rPr>
                <w:rFonts w:asciiTheme="minorHAnsi" w:eastAsiaTheme="minorEastAsia" w:hAnsiTheme="minorHAnsi"/>
                <w:noProof/>
                <w:kern w:val="2"/>
                <w:sz w:val="22"/>
                <w:szCs w:val="22"/>
                <w:lang w:eastAsia="en-IE"/>
                <w14:ligatures w14:val="standardContextual"/>
              </w:rPr>
              <w:tab/>
            </w:r>
            <w:r w:rsidRPr="00162DE2">
              <w:rPr>
                <w:rStyle w:val="Hyperlink"/>
                <w:noProof/>
              </w:rPr>
              <w:t>Are there any obligations on an insurer in terms of its dealings with policyholders over and above existing legal/regulatory requirements?</w:t>
            </w:r>
            <w:r>
              <w:rPr>
                <w:noProof/>
                <w:webHidden/>
              </w:rPr>
              <w:tab/>
            </w:r>
            <w:r>
              <w:rPr>
                <w:noProof/>
                <w:webHidden/>
              </w:rPr>
              <w:fldChar w:fldCharType="begin"/>
            </w:r>
            <w:r>
              <w:rPr>
                <w:noProof/>
                <w:webHidden/>
              </w:rPr>
              <w:instrText xml:space="preserve"> PAGEREF _Toc139446089 \h </w:instrText>
            </w:r>
            <w:r>
              <w:rPr>
                <w:noProof/>
                <w:webHidden/>
              </w:rPr>
            </w:r>
            <w:r>
              <w:rPr>
                <w:noProof/>
                <w:webHidden/>
              </w:rPr>
              <w:fldChar w:fldCharType="separate"/>
            </w:r>
            <w:r w:rsidR="00672BD6">
              <w:rPr>
                <w:noProof/>
                <w:webHidden/>
              </w:rPr>
              <w:t>11</w:t>
            </w:r>
            <w:r>
              <w:rPr>
                <w:noProof/>
                <w:webHidden/>
              </w:rPr>
              <w:fldChar w:fldCharType="end"/>
            </w:r>
          </w:hyperlink>
        </w:p>
        <w:p w14:paraId="33E2E42A" w14:textId="3BE651B9"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90" w:history="1">
            <w:r w:rsidRPr="00162DE2">
              <w:rPr>
                <w:rStyle w:val="Hyperlink"/>
                <w:caps/>
                <w:noProof/>
              </w:rPr>
              <w:t>25.</w:t>
            </w:r>
            <w:r>
              <w:rPr>
                <w:rFonts w:asciiTheme="minorHAnsi" w:eastAsiaTheme="minorEastAsia" w:hAnsiTheme="minorHAnsi"/>
                <w:noProof/>
                <w:kern w:val="2"/>
                <w:sz w:val="22"/>
                <w:szCs w:val="22"/>
                <w:lang w:eastAsia="en-IE"/>
                <w14:ligatures w14:val="standardContextual"/>
              </w:rPr>
              <w:tab/>
            </w:r>
            <w:r w:rsidRPr="00162DE2">
              <w:rPr>
                <w:rStyle w:val="Hyperlink"/>
                <w:noProof/>
              </w:rPr>
              <w:t>What happens if a policyholder has any questions or complaints?</w:t>
            </w:r>
            <w:r>
              <w:rPr>
                <w:noProof/>
                <w:webHidden/>
              </w:rPr>
              <w:tab/>
            </w:r>
            <w:r>
              <w:rPr>
                <w:noProof/>
                <w:webHidden/>
              </w:rPr>
              <w:fldChar w:fldCharType="begin"/>
            </w:r>
            <w:r>
              <w:rPr>
                <w:noProof/>
                <w:webHidden/>
              </w:rPr>
              <w:instrText xml:space="preserve"> PAGEREF _Toc139446090 \h </w:instrText>
            </w:r>
            <w:r>
              <w:rPr>
                <w:noProof/>
                <w:webHidden/>
              </w:rPr>
            </w:r>
            <w:r>
              <w:rPr>
                <w:noProof/>
                <w:webHidden/>
              </w:rPr>
              <w:fldChar w:fldCharType="separate"/>
            </w:r>
            <w:r w:rsidR="00672BD6">
              <w:rPr>
                <w:noProof/>
                <w:webHidden/>
              </w:rPr>
              <w:t>11</w:t>
            </w:r>
            <w:r>
              <w:rPr>
                <w:noProof/>
                <w:webHidden/>
              </w:rPr>
              <w:fldChar w:fldCharType="end"/>
            </w:r>
          </w:hyperlink>
        </w:p>
        <w:p w14:paraId="2257EB9D" w14:textId="7FF895C0"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91" w:history="1">
            <w:r w:rsidRPr="00162DE2">
              <w:rPr>
                <w:rStyle w:val="Hyperlink"/>
                <w:caps/>
                <w:noProof/>
              </w:rPr>
              <w:t>26.</w:t>
            </w:r>
            <w:r>
              <w:rPr>
                <w:rFonts w:asciiTheme="minorHAnsi" w:eastAsiaTheme="minorEastAsia" w:hAnsiTheme="minorHAnsi"/>
                <w:noProof/>
                <w:kern w:val="2"/>
                <w:sz w:val="22"/>
                <w:szCs w:val="22"/>
                <w:lang w:eastAsia="en-IE"/>
                <w14:ligatures w14:val="standardContextual"/>
              </w:rPr>
              <w:tab/>
            </w:r>
            <w:r w:rsidRPr="00162DE2">
              <w:rPr>
                <w:rStyle w:val="Hyperlink"/>
                <w:noProof/>
              </w:rPr>
              <w:t>Are there disclosure of information obligations on trustees who purchase sovereign annuities?</w:t>
            </w:r>
            <w:r>
              <w:rPr>
                <w:noProof/>
                <w:webHidden/>
              </w:rPr>
              <w:tab/>
            </w:r>
            <w:r>
              <w:rPr>
                <w:noProof/>
                <w:webHidden/>
              </w:rPr>
              <w:fldChar w:fldCharType="begin"/>
            </w:r>
            <w:r>
              <w:rPr>
                <w:noProof/>
                <w:webHidden/>
              </w:rPr>
              <w:instrText xml:space="preserve"> PAGEREF _Toc139446091 \h </w:instrText>
            </w:r>
            <w:r>
              <w:rPr>
                <w:noProof/>
                <w:webHidden/>
              </w:rPr>
            </w:r>
            <w:r>
              <w:rPr>
                <w:noProof/>
                <w:webHidden/>
              </w:rPr>
              <w:fldChar w:fldCharType="separate"/>
            </w:r>
            <w:r w:rsidR="00672BD6">
              <w:rPr>
                <w:noProof/>
                <w:webHidden/>
              </w:rPr>
              <w:t>12</w:t>
            </w:r>
            <w:r>
              <w:rPr>
                <w:noProof/>
                <w:webHidden/>
              </w:rPr>
              <w:fldChar w:fldCharType="end"/>
            </w:r>
          </w:hyperlink>
        </w:p>
        <w:p w14:paraId="21F69D09" w14:textId="5870A8E3" w:rsidR="008E44AF" w:rsidRDefault="008E44AF" w:rsidP="008E44AF">
          <w:pPr>
            <w:pStyle w:val="TOC1"/>
            <w:rPr>
              <w:rFonts w:asciiTheme="minorHAnsi" w:eastAsiaTheme="minorEastAsia" w:hAnsiTheme="minorHAnsi"/>
              <w:noProof/>
              <w:kern w:val="2"/>
              <w:sz w:val="22"/>
              <w:szCs w:val="22"/>
              <w:lang w:eastAsia="en-IE"/>
              <w14:ligatures w14:val="standardContextual"/>
            </w:rPr>
          </w:pPr>
          <w:hyperlink w:anchor="_Toc139446092" w:history="1">
            <w:r w:rsidRPr="00162DE2">
              <w:rPr>
                <w:rStyle w:val="Hyperlink"/>
                <w:caps/>
                <w:noProof/>
              </w:rPr>
              <w:t>27.</w:t>
            </w:r>
            <w:r>
              <w:rPr>
                <w:rFonts w:asciiTheme="minorHAnsi" w:eastAsiaTheme="minorEastAsia" w:hAnsiTheme="minorHAnsi"/>
                <w:noProof/>
                <w:kern w:val="2"/>
                <w:sz w:val="22"/>
                <w:szCs w:val="22"/>
                <w:lang w:eastAsia="en-IE"/>
                <w14:ligatures w14:val="standardContextual"/>
              </w:rPr>
              <w:tab/>
            </w:r>
            <w:r w:rsidRPr="00162DE2">
              <w:rPr>
                <w:rStyle w:val="Hyperlink"/>
                <w:noProof/>
              </w:rPr>
              <w:t>Where can I get more information on sovereign annuities?</w:t>
            </w:r>
            <w:r>
              <w:rPr>
                <w:noProof/>
                <w:webHidden/>
              </w:rPr>
              <w:tab/>
            </w:r>
            <w:r>
              <w:rPr>
                <w:noProof/>
                <w:webHidden/>
              </w:rPr>
              <w:fldChar w:fldCharType="begin"/>
            </w:r>
            <w:r>
              <w:rPr>
                <w:noProof/>
                <w:webHidden/>
              </w:rPr>
              <w:instrText xml:space="preserve"> PAGEREF _Toc139446092 \h </w:instrText>
            </w:r>
            <w:r>
              <w:rPr>
                <w:noProof/>
                <w:webHidden/>
              </w:rPr>
            </w:r>
            <w:r>
              <w:rPr>
                <w:noProof/>
                <w:webHidden/>
              </w:rPr>
              <w:fldChar w:fldCharType="separate"/>
            </w:r>
            <w:r w:rsidR="00672BD6">
              <w:rPr>
                <w:noProof/>
                <w:webHidden/>
              </w:rPr>
              <w:t>12</w:t>
            </w:r>
            <w:r>
              <w:rPr>
                <w:noProof/>
                <w:webHidden/>
              </w:rPr>
              <w:fldChar w:fldCharType="end"/>
            </w:r>
          </w:hyperlink>
        </w:p>
        <w:p w14:paraId="449C561B" w14:textId="0CF32230" w:rsidR="00C32DEF" w:rsidRDefault="00C32DEF">
          <w:r>
            <w:fldChar w:fldCharType="end"/>
          </w:r>
        </w:p>
      </w:sdtContent>
    </w:sdt>
    <w:p w14:paraId="50385DFD" w14:textId="77777777" w:rsidR="00563B39" w:rsidRPr="00C20759" w:rsidRDefault="00563B39" w:rsidP="00C32DEF">
      <w:pPr>
        <w:rPr>
          <w:b/>
          <w:noProof/>
          <w:szCs w:val="36"/>
          <w:lang w:eastAsia="en-IE"/>
        </w:rPr>
      </w:pPr>
    </w:p>
    <w:p w14:paraId="6203C135" w14:textId="3409960D" w:rsidR="000B7FE0" w:rsidRDefault="000B7FE0" w:rsidP="00686398">
      <w:pPr>
        <w:pStyle w:val="ListParagraph"/>
        <w:spacing w:before="240" w:line="264" w:lineRule="auto"/>
        <w:rPr>
          <w:rFonts w:eastAsiaTheme="majorEastAsia" w:cs="Arial"/>
          <w:b/>
          <w:bCs/>
          <w:szCs w:val="24"/>
        </w:rPr>
      </w:pPr>
    </w:p>
    <w:p w14:paraId="6ECE2F23" w14:textId="76F33751" w:rsidR="00686398" w:rsidRDefault="00686398" w:rsidP="00686398">
      <w:pPr>
        <w:pStyle w:val="ListParagraph"/>
        <w:spacing w:before="240" w:line="264" w:lineRule="auto"/>
        <w:rPr>
          <w:rFonts w:eastAsiaTheme="majorEastAsia" w:cs="Arial"/>
          <w:b/>
          <w:bCs/>
          <w:szCs w:val="24"/>
        </w:rPr>
      </w:pPr>
    </w:p>
    <w:p w14:paraId="6B9E03F4" w14:textId="280A8647" w:rsidR="00686398" w:rsidRDefault="00686398" w:rsidP="00686398">
      <w:pPr>
        <w:pStyle w:val="ListParagraph"/>
        <w:spacing w:before="240" w:line="264" w:lineRule="auto"/>
        <w:rPr>
          <w:rFonts w:eastAsiaTheme="majorEastAsia" w:cs="Arial"/>
          <w:b/>
          <w:bCs/>
          <w:szCs w:val="24"/>
        </w:rPr>
      </w:pPr>
    </w:p>
    <w:p w14:paraId="36CE1528" w14:textId="1B0E5E53" w:rsidR="00686398" w:rsidRDefault="00686398" w:rsidP="00686398">
      <w:pPr>
        <w:pStyle w:val="ListParagraph"/>
        <w:spacing w:before="240" w:line="264" w:lineRule="auto"/>
        <w:rPr>
          <w:rFonts w:eastAsiaTheme="majorEastAsia" w:cs="Arial"/>
          <w:b/>
          <w:bCs/>
          <w:szCs w:val="24"/>
        </w:rPr>
      </w:pPr>
    </w:p>
    <w:p w14:paraId="114551E0" w14:textId="2B62A8F0" w:rsidR="00686398" w:rsidRDefault="00686398" w:rsidP="00686398">
      <w:pPr>
        <w:pStyle w:val="ListParagraph"/>
        <w:spacing w:before="240" w:line="264" w:lineRule="auto"/>
        <w:rPr>
          <w:rFonts w:eastAsiaTheme="majorEastAsia" w:cs="Arial"/>
          <w:b/>
          <w:bCs/>
          <w:szCs w:val="24"/>
        </w:rPr>
      </w:pPr>
    </w:p>
    <w:p w14:paraId="02F7B943" w14:textId="748AEA0C" w:rsidR="00686398" w:rsidRDefault="00686398" w:rsidP="00686398">
      <w:pPr>
        <w:pStyle w:val="ListParagraph"/>
        <w:spacing w:before="240" w:line="264" w:lineRule="auto"/>
        <w:rPr>
          <w:rFonts w:eastAsiaTheme="majorEastAsia" w:cs="Arial"/>
          <w:b/>
          <w:bCs/>
          <w:szCs w:val="24"/>
        </w:rPr>
      </w:pPr>
    </w:p>
    <w:p w14:paraId="1041BCBC" w14:textId="44F231C4" w:rsidR="00686398" w:rsidRDefault="00686398" w:rsidP="00686398">
      <w:pPr>
        <w:pStyle w:val="ListParagraph"/>
        <w:spacing w:before="240" w:line="264" w:lineRule="auto"/>
        <w:rPr>
          <w:rFonts w:eastAsiaTheme="majorEastAsia" w:cs="Arial"/>
          <w:b/>
          <w:bCs/>
          <w:szCs w:val="24"/>
        </w:rPr>
      </w:pPr>
    </w:p>
    <w:p w14:paraId="1A6C1242" w14:textId="3F053097" w:rsidR="00686398" w:rsidRDefault="00686398" w:rsidP="00686398">
      <w:pPr>
        <w:pStyle w:val="ListParagraph"/>
        <w:spacing w:before="240" w:line="264" w:lineRule="auto"/>
        <w:rPr>
          <w:rFonts w:eastAsiaTheme="majorEastAsia" w:cs="Arial"/>
          <w:b/>
          <w:bCs/>
          <w:szCs w:val="24"/>
        </w:rPr>
      </w:pPr>
    </w:p>
    <w:p w14:paraId="4525D6B0" w14:textId="57AA02DD" w:rsidR="00686398" w:rsidRDefault="00686398" w:rsidP="00686398">
      <w:pPr>
        <w:pStyle w:val="ListParagraph"/>
        <w:spacing w:before="240" w:line="264" w:lineRule="auto"/>
        <w:rPr>
          <w:rFonts w:eastAsiaTheme="majorEastAsia" w:cs="Arial"/>
          <w:b/>
          <w:bCs/>
          <w:szCs w:val="24"/>
        </w:rPr>
      </w:pPr>
    </w:p>
    <w:p w14:paraId="303CCBD3" w14:textId="27643AF1" w:rsidR="00686398" w:rsidRDefault="00686398" w:rsidP="00686398">
      <w:pPr>
        <w:pStyle w:val="ListParagraph"/>
        <w:spacing w:before="240" w:line="264" w:lineRule="auto"/>
        <w:rPr>
          <w:rFonts w:eastAsiaTheme="majorEastAsia" w:cs="Arial"/>
          <w:b/>
          <w:bCs/>
          <w:szCs w:val="24"/>
        </w:rPr>
      </w:pPr>
    </w:p>
    <w:p w14:paraId="4B35E87F" w14:textId="2AA53802" w:rsidR="00686398" w:rsidRDefault="00686398" w:rsidP="00686398">
      <w:pPr>
        <w:pStyle w:val="ListParagraph"/>
        <w:spacing w:before="240" w:line="264" w:lineRule="auto"/>
        <w:rPr>
          <w:rFonts w:eastAsiaTheme="majorEastAsia" w:cs="Arial"/>
          <w:b/>
          <w:bCs/>
          <w:szCs w:val="24"/>
        </w:rPr>
      </w:pPr>
    </w:p>
    <w:p w14:paraId="1F626564" w14:textId="4678F4A1" w:rsidR="00D70D68" w:rsidRDefault="00D70D68">
      <w:pPr>
        <w:rPr>
          <w:rFonts w:eastAsiaTheme="majorEastAsia" w:cs="Arial"/>
          <w:b/>
          <w:bCs/>
          <w:szCs w:val="24"/>
        </w:rPr>
      </w:pPr>
      <w:r>
        <w:rPr>
          <w:rFonts w:eastAsiaTheme="majorEastAsia" w:cs="Arial"/>
          <w:b/>
          <w:bCs/>
          <w:szCs w:val="24"/>
        </w:rPr>
        <w:br w:type="page"/>
      </w:r>
    </w:p>
    <w:p w14:paraId="146ADE88" w14:textId="611B1563" w:rsidR="004F6E8D" w:rsidRPr="003E5F8A" w:rsidRDefault="004F6E8D" w:rsidP="001A29D1">
      <w:pPr>
        <w:pStyle w:val="Heading4"/>
        <w:ind w:left="567" w:hanging="567"/>
      </w:pPr>
      <w:bookmarkStart w:id="0" w:name="_Toc139446066"/>
      <w:bookmarkStart w:id="1" w:name="Q1"/>
      <w:r w:rsidRPr="003E5F8A">
        <w:lastRenderedPageBreak/>
        <w:t xml:space="preserve">What is a </w:t>
      </w:r>
      <w:r w:rsidR="00B02819" w:rsidRPr="003E5F8A">
        <w:t>sovereign annuity</w:t>
      </w:r>
      <w:r w:rsidRPr="003E5F8A">
        <w:t>?</w:t>
      </w:r>
      <w:bookmarkEnd w:id="0"/>
    </w:p>
    <w:p w14:paraId="71C50192" w14:textId="62312C97" w:rsidR="004F6E8D" w:rsidRPr="00DE63D3" w:rsidRDefault="004F6E8D" w:rsidP="003E5F8A">
      <w:pPr>
        <w:ind w:left="0" w:firstLine="0"/>
        <w:rPr>
          <w:rFonts w:cs="Arial"/>
          <w:szCs w:val="24"/>
        </w:rPr>
      </w:pPr>
      <w:r w:rsidRPr="00DE63D3">
        <w:rPr>
          <w:rFonts w:cs="Arial"/>
          <w:szCs w:val="24"/>
        </w:rPr>
        <w:t xml:space="preserve">A </w:t>
      </w:r>
      <w:r w:rsidR="00B02819">
        <w:rPr>
          <w:rFonts w:cs="Arial"/>
          <w:szCs w:val="24"/>
        </w:rPr>
        <w:t>sovereign annuity</w:t>
      </w:r>
      <w:r w:rsidRPr="00DE63D3">
        <w:rPr>
          <w:rFonts w:cs="Arial"/>
          <w:szCs w:val="24"/>
        </w:rPr>
        <w:t xml:space="preserve"> is an annuity issued by an insurance company which is referenced to bonds issued by Ireland or any other Member State of the European Union</w:t>
      </w:r>
      <w:r w:rsidR="00F57D2A">
        <w:rPr>
          <w:rFonts w:cs="Arial"/>
          <w:szCs w:val="24"/>
        </w:rPr>
        <w:t xml:space="preserve"> (EU)</w:t>
      </w:r>
      <w:r w:rsidRPr="00DE63D3">
        <w:rPr>
          <w:rFonts w:cs="Arial"/>
          <w:szCs w:val="24"/>
        </w:rPr>
        <w:t xml:space="preserve"> (</w:t>
      </w:r>
      <w:r w:rsidRPr="008E44AF">
        <w:rPr>
          <w:rFonts w:cs="Arial"/>
          <w:bCs/>
          <w:szCs w:val="24"/>
        </w:rPr>
        <w:t>reference bond(s)</w:t>
      </w:r>
      <w:r w:rsidRPr="00DE63D3">
        <w:rPr>
          <w:rFonts w:cs="Arial"/>
          <w:szCs w:val="24"/>
        </w:rPr>
        <w:t>) and payments under which can be reduced due to an event of non-performance</w:t>
      </w:r>
      <w:r w:rsidR="000B7FE0">
        <w:rPr>
          <w:rFonts w:cs="Arial"/>
          <w:szCs w:val="24"/>
        </w:rPr>
        <w:t xml:space="preserve"> </w:t>
      </w:r>
      <w:r w:rsidRPr="00DE63D3">
        <w:rPr>
          <w:rFonts w:cs="Arial"/>
          <w:szCs w:val="24"/>
        </w:rPr>
        <w:t xml:space="preserve">(see questions </w:t>
      </w:r>
      <w:r w:rsidR="003B113A" w:rsidRPr="00DE63D3">
        <w:rPr>
          <w:rFonts w:cs="Arial"/>
          <w:szCs w:val="24"/>
        </w:rPr>
        <w:t>14</w:t>
      </w:r>
      <w:r w:rsidRPr="00DE63D3">
        <w:rPr>
          <w:rFonts w:cs="Arial"/>
          <w:szCs w:val="24"/>
        </w:rPr>
        <w:t xml:space="preserve"> and </w:t>
      </w:r>
      <w:r w:rsidR="003B113A" w:rsidRPr="00DE63D3">
        <w:rPr>
          <w:rFonts w:cs="Arial"/>
          <w:szCs w:val="24"/>
        </w:rPr>
        <w:t>15</w:t>
      </w:r>
      <w:r w:rsidR="00B0385F" w:rsidRPr="00DE63D3">
        <w:rPr>
          <w:rFonts w:cs="Arial"/>
          <w:szCs w:val="24"/>
        </w:rPr>
        <w:t>)</w:t>
      </w:r>
      <w:r w:rsidRPr="00DE63D3">
        <w:rPr>
          <w:rFonts w:cs="Arial"/>
          <w:szCs w:val="24"/>
        </w:rPr>
        <w:t xml:space="preserve"> occurring in relation to those reference bonds.</w:t>
      </w:r>
    </w:p>
    <w:bookmarkEnd w:id="1"/>
    <w:p w14:paraId="2DDA2119" w14:textId="77777777" w:rsidR="004F6E8D" w:rsidRPr="00DE63D3" w:rsidRDefault="004F6E8D" w:rsidP="003E5F8A">
      <w:pPr>
        <w:tabs>
          <w:tab w:val="num" w:pos="567"/>
        </w:tabs>
        <w:rPr>
          <w:rFonts w:cs="Arial"/>
          <w:szCs w:val="24"/>
        </w:rPr>
      </w:pPr>
    </w:p>
    <w:p w14:paraId="243474A8" w14:textId="31DAA29E" w:rsidR="004F6E8D" w:rsidRPr="00C20759" w:rsidRDefault="004F6E8D" w:rsidP="001025A9">
      <w:pPr>
        <w:pStyle w:val="Heading4"/>
        <w:ind w:left="0" w:firstLine="0"/>
      </w:pPr>
      <w:bookmarkStart w:id="2" w:name="_Toc139446067"/>
      <w:bookmarkStart w:id="3" w:name="Q2"/>
      <w:r w:rsidRPr="00C20759">
        <w:t xml:space="preserve">What is the difference between a traditional annuity and a </w:t>
      </w:r>
      <w:r w:rsidR="00B02819" w:rsidRPr="00C20759">
        <w:t>sovereign annuity</w:t>
      </w:r>
      <w:r w:rsidRPr="00C20759">
        <w:t>?</w:t>
      </w:r>
      <w:bookmarkEnd w:id="2"/>
    </w:p>
    <w:p w14:paraId="4AC1D7B7" w14:textId="72EFF2C7" w:rsidR="004F6E8D" w:rsidRPr="00DE63D3" w:rsidRDefault="004F6E8D" w:rsidP="003E5F8A">
      <w:pPr>
        <w:ind w:left="0" w:firstLine="0"/>
        <w:rPr>
          <w:rFonts w:cs="Arial"/>
          <w:szCs w:val="24"/>
        </w:rPr>
      </w:pPr>
      <w:r w:rsidRPr="00DE63D3">
        <w:rPr>
          <w:rFonts w:cs="Arial"/>
          <w:szCs w:val="24"/>
        </w:rPr>
        <w:t xml:space="preserve">Under a traditional annuity, the insurer guarantees to make the agreed payments for the lifetime of the person for whom the annuity is bought. Under a </w:t>
      </w:r>
      <w:r w:rsidR="00B02819">
        <w:rPr>
          <w:rFonts w:cs="Arial"/>
          <w:szCs w:val="24"/>
        </w:rPr>
        <w:t>sovereign annuity</w:t>
      </w:r>
      <w:r w:rsidRPr="00DE63D3">
        <w:rPr>
          <w:rFonts w:cs="Arial"/>
          <w:szCs w:val="24"/>
        </w:rPr>
        <w:t>, the agreed payments can be reduced if there is an event of non-performance in relation to bond(s) to which the annuity is referenced.</w:t>
      </w:r>
    </w:p>
    <w:bookmarkEnd w:id="3"/>
    <w:p w14:paraId="097D6F2F" w14:textId="77777777" w:rsidR="004F6E8D" w:rsidRPr="00DE63D3" w:rsidRDefault="004F6E8D" w:rsidP="003E5F8A">
      <w:pPr>
        <w:tabs>
          <w:tab w:val="num" w:pos="567"/>
        </w:tabs>
        <w:rPr>
          <w:rFonts w:cs="Arial"/>
          <w:szCs w:val="24"/>
        </w:rPr>
      </w:pPr>
    </w:p>
    <w:p w14:paraId="2C1F208A" w14:textId="77777777" w:rsidR="004F6E8D" w:rsidRPr="001A29D1" w:rsidRDefault="004F6E8D" w:rsidP="001A29D1">
      <w:pPr>
        <w:pStyle w:val="Heading4"/>
        <w:ind w:left="567" w:hanging="567"/>
      </w:pPr>
      <w:bookmarkStart w:id="4" w:name="_Toc139446068"/>
      <w:bookmarkStart w:id="5" w:name="Q3"/>
      <w:r w:rsidRPr="001A29D1">
        <w:t xml:space="preserve">What is the role of </w:t>
      </w:r>
      <w:r w:rsidR="0016747F" w:rsidRPr="001A29D1">
        <w:t>the Pensions Authority</w:t>
      </w:r>
      <w:r w:rsidRPr="001A29D1">
        <w:t>?</w:t>
      </w:r>
      <w:bookmarkEnd w:id="4"/>
    </w:p>
    <w:p w14:paraId="6A6427B6" w14:textId="04576C16" w:rsidR="004F6E8D" w:rsidRPr="00DE63D3" w:rsidRDefault="004F6E8D" w:rsidP="003E5F8A">
      <w:pPr>
        <w:ind w:left="0" w:firstLine="0"/>
        <w:rPr>
          <w:rFonts w:cs="Arial"/>
          <w:szCs w:val="24"/>
        </w:rPr>
      </w:pPr>
      <w:r w:rsidRPr="00DE63D3">
        <w:rPr>
          <w:rFonts w:cs="Arial"/>
          <w:szCs w:val="24"/>
        </w:rPr>
        <w:t xml:space="preserve">The Pensions </w:t>
      </w:r>
      <w:r w:rsidR="0016747F" w:rsidRPr="00DE63D3">
        <w:rPr>
          <w:rFonts w:cs="Arial"/>
          <w:szCs w:val="24"/>
        </w:rPr>
        <w:t>Authority’s</w:t>
      </w:r>
      <w:r w:rsidRPr="00DE63D3">
        <w:rPr>
          <w:rFonts w:cs="Arial"/>
          <w:szCs w:val="24"/>
        </w:rPr>
        <w:t xml:space="preserve"> </w:t>
      </w:r>
      <w:r w:rsidR="00C32DEF">
        <w:rPr>
          <w:rFonts w:cs="Arial"/>
          <w:szCs w:val="24"/>
        </w:rPr>
        <w:t xml:space="preserve">(the Authority) </w:t>
      </w:r>
      <w:r w:rsidRPr="00DE63D3">
        <w:rPr>
          <w:rFonts w:cs="Arial"/>
          <w:szCs w:val="24"/>
        </w:rPr>
        <w:t xml:space="preserve">role is to certify that the </w:t>
      </w:r>
      <w:r w:rsidR="00B02819">
        <w:rPr>
          <w:rFonts w:cs="Arial"/>
          <w:szCs w:val="24"/>
        </w:rPr>
        <w:t>sovereign annuity</w:t>
      </w:r>
      <w:r w:rsidRPr="00DE63D3">
        <w:rPr>
          <w:rFonts w:cs="Arial"/>
          <w:szCs w:val="24"/>
        </w:rPr>
        <w:t xml:space="preserve"> meets the requirements of the Pensions Act</w:t>
      </w:r>
      <w:r w:rsidR="0095752C">
        <w:rPr>
          <w:rFonts w:cs="Arial"/>
          <w:szCs w:val="24"/>
        </w:rPr>
        <w:t>, 1990</w:t>
      </w:r>
      <w:r w:rsidR="00AB640D">
        <w:rPr>
          <w:rFonts w:cs="Arial"/>
          <w:szCs w:val="24"/>
        </w:rPr>
        <w:t>, as amended</w:t>
      </w:r>
      <w:r w:rsidR="0095752C">
        <w:rPr>
          <w:rFonts w:cs="Arial"/>
          <w:szCs w:val="24"/>
        </w:rPr>
        <w:t xml:space="preserve"> (the Act)</w:t>
      </w:r>
      <w:r w:rsidR="00D70D68">
        <w:rPr>
          <w:rFonts w:cs="Arial"/>
          <w:szCs w:val="24"/>
        </w:rPr>
        <w:t>,</w:t>
      </w:r>
      <w:r w:rsidR="0095752C">
        <w:rPr>
          <w:rFonts w:cs="Arial"/>
          <w:szCs w:val="24"/>
        </w:rPr>
        <w:t xml:space="preserve"> </w:t>
      </w:r>
      <w:r w:rsidRPr="00DE63D3">
        <w:rPr>
          <w:rFonts w:cs="Arial"/>
          <w:szCs w:val="24"/>
        </w:rPr>
        <w:t xml:space="preserve">and </w:t>
      </w:r>
      <w:r w:rsidR="000815B8" w:rsidRPr="00DE63D3">
        <w:rPr>
          <w:rFonts w:cs="Arial"/>
          <w:szCs w:val="24"/>
        </w:rPr>
        <w:t>t</w:t>
      </w:r>
      <w:r w:rsidR="0016747F" w:rsidRPr="00DE63D3">
        <w:rPr>
          <w:rFonts w:cs="Arial"/>
          <w:szCs w:val="24"/>
        </w:rPr>
        <w:t>he Authority</w:t>
      </w:r>
      <w:r w:rsidRPr="00DE63D3">
        <w:rPr>
          <w:rFonts w:cs="Arial"/>
          <w:szCs w:val="24"/>
        </w:rPr>
        <w:t xml:space="preserve">. The following are matters for the insurer and will not be part of the specimen policy which </w:t>
      </w:r>
      <w:r w:rsidR="000815B8" w:rsidRPr="00DE63D3">
        <w:rPr>
          <w:rFonts w:cs="Arial"/>
          <w:szCs w:val="24"/>
        </w:rPr>
        <w:t>the Authority</w:t>
      </w:r>
      <w:r w:rsidRPr="00DE63D3">
        <w:rPr>
          <w:rFonts w:cs="Arial"/>
          <w:szCs w:val="24"/>
        </w:rPr>
        <w:t xml:space="preserve"> certifies:  </w:t>
      </w:r>
    </w:p>
    <w:p w14:paraId="1F5463E9" w14:textId="77777777" w:rsidR="004F6E8D" w:rsidRPr="00DE63D3" w:rsidRDefault="004F6E8D" w:rsidP="003E5F8A">
      <w:pPr>
        <w:ind w:left="720"/>
        <w:rPr>
          <w:rFonts w:cs="Arial"/>
          <w:szCs w:val="24"/>
        </w:rPr>
      </w:pPr>
    </w:p>
    <w:p w14:paraId="03899F9D" w14:textId="49511145" w:rsidR="004F6E8D" w:rsidRPr="00DE63D3" w:rsidRDefault="00B02819" w:rsidP="001073F5">
      <w:pPr>
        <w:pStyle w:val="ListParagraph"/>
        <w:numPr>
          <w:ilvl w:val="0"/>
          <w:numId w:val="19"/>
        </w:numPr>
      </w:pPr>
      <w:r>
        <w:t>sovereign annuity</w:t>
      </w:r>
      <w:r w:rsidRPr="00DE63D3">
        <w:t xml:space="preserve"> </w:t>
      </w:r>
      <w:r w:rsidR="00EB1B6E">
        <w:t>rates</w:t>
      </w:r>
      <w:r w:rsidR="00D70D68">
        <w:t>,</w:t>
      </w:r>
    </w:p>
    <w:p w14:paraId="51BD05D4" w14:textId="77777777" w:rsidR="004F6E8D" w:rsidRPr="00DE63D3" w:rsidRDefault="004F6E8D" w:rsidP="001073F5"/>
    <w:p w14:paraId="5B956DE8" w14:textId="46105690" w:rsidR="004F6E8D" w:rsidRPr="00DE63D3" w:rsidRDefault="004F6E8D" w:rsidP="001073F5">
      <w:pPr>
        <w:pStyle w:val="ListParagraph"/>
        <w:numPr>
          <w:ilvl w:val="0"/>
          <w:numId w:val="19"/>
        </w:numPr>
      </w:pPr>
      <w:r w:rsidRPr="00DE63D3">
        <w:t xml:space="preserve">the bonds(s) which the </w:t>
      </w:r>
      <w:r w:rsidR="00B02819">
        <w:t>sovereign annuity</w:t>
      </w:r>
      <w:r w:rsidR="00EB1B6E">
        <w:t xml:space="preserve"> is referenced to</w:t>
      </w:r>
      <w:r w:rsidR="00D70D68">
        <w:t>,</w:t>
      </w:r>
    </w:p>
    <w:p w14:paraId="0EA63999" w14:textId="77777777" w:rsidR="004F6E8D" w:rsidRPr="00DE63D3" w:rsidRDefault="004F6E8D" w:rsidP="001073F5"/>
    <w:p w14:paraId="19FC4DAB" w14:textId="7BD5ABA0" w:rsidR="004F6E8D" w:rsidRPr="00DE63D3" w:rsidRDefault="004F6E8D" w:rsidP="001073F5">
      <w:pPr>
        <w:pStyle w:val="ListParagraph"/>
        <w:numPr>
          <w:ilvl w:val="0"/>
          <w:numId w:val="19"/>
        </w:numPr>
      </w:pPr>
      <w:r w:rsidRPr="00DE63D3">
        <w:t xml:space="preserve">the percentage of the payments under the </w:t>
      </w:r>
      <w:r w:rsidR="00B02819">
        <w:t>sovereign annuity</w:t>
      </w:r>
      <w:r w:rsidR="00B02819" w:rsidRPr="00DE63D3">
        <w:t xml:space="preserve"> </w:t>
      </w:r>
      <w:r w:rsidRPr="00DE63D3">
        <w:t xml:space="preserve">which can be reduced due to an event of non-performance (known as the </w:t>
      </w:r>
      <w:r w:rsidRPr="008E44AF">
        <w:t xml:space="preserve">reference </w:t>
      </w:r>
      <w:r w:rsidR="001F221D" w:rsidRPr="008E44AF">
        <w:t>p</w:t>
      </w:r>
      <w:r w:rsidRPr="008E44AF">
        <w:t>ercentage</w:t>
      </w:r>
      <w:r w:rsidR="00EB1B6E">
        <w:t>)</w:t>
      </w:r>
      <w:r w:rsidR="00D70D68">
        <w:t>,</w:t>
      </w:r>
      <w:r w:rsidRPr="00DE63D3">
        <w:t xml:space="preserve"> </w:t>
      </w:r>
    </w:p>
    <w:p w14:paraId="7F3C5D9A" w14:textId="77777777" w:rsidR="004F6E8D" w:rsidRPr="00DE63D3" w:rsidRDefault="004F6E8D" w:rsidP="001073F5"/>
    <w:p w14:paraId="49DFDDE6" w14:textId="77777777" w:rsidR="004F6E8D" w:rsidRPr="00DE63D3" w:rsidRDefault="004F6E8D" w:rsidP="001073F5">
      <w:pPr>
        <w:pStyle w:val="ListParagraph"/>
        <w:numPr>
          <w:ilvl w:val="0"/>
          <w:numId w:val="19"/>
        </w:numPr>
      </w:pPr>
      <w:r w:rsidRPr="00DE63D3">
        <w:t>where there is more than one reference bond, the part of the reference percentage which relates to each</w:t>
      </w:r>
      <w:r w:rsidR="00B0385F" w:rsidRPr="00DE63D3">
        <w:t xml:space="preserve"> bond for each </w:t>
      </w:r>
      <w:proofErr w:type="gramStart"/>
      <w:r w:rsidR="00B0385F" w:rsidRPr="00DE63D3">
        <w:t>time period</w:t>
      </w:r>
      <w:proofErr w:type="gramEnd"/>
      <w:r w:rsidR="00B0385F" w:rsidRPr="00DE63D3">
        <w:t>.</w:t>
      </w:r>
    </w:p>
    <w:p w14:paraId="2C508B42" w14:textId="77777777" w:rsidR="004F6E8D" w:rsidRPr="00DE63D3" w:rsidRDefault="004F6E8D" w:rsidP="003E5F8A">
      <w:pPr>
        <w:ind w:left="720"/>
        <w:rPr>
          <w:rFonts w:cs="Arial"/>
          <w:szCs w:val="24"/>
        </w:rPr>
      </w:pPr>
    </w:p>
    <w:p w14:paraId="28FB407D" w14:textId="4F2606BF" w:rsidR="004F6E8D" w:rsidRPr="00DE63D3" w:rsidRDefault="004F6E8D" w:rsidP="003E5F8A">
      <w:pPr>
        <w:ind w:left="0" w:firstLine="0"/>
        <w:rPr>
          <w:rFonts w:cs="Arial"/>
          <w:szCs w:val="24"/>
        </w:rPr>
      </w:pPr>
      <w:r w:rsidRPr="00DE63D3">
        <w:rPr>
          <w:rFonts w:cs="Arial"/>
          <w:szCs w:val="24"/>
        </w:rPr>
        <w:t>It is important to note that once a bond has been issued by a Member State of the E</w:t>
      </w:r>
      <w:r w:rsidR="00F57D2A">
        <w:rPr>
          <w:rFonts w:cs="Arial"/>
          <w:szCs w:val="24"/>
        </w:rPr>
        <w:t>U</w:t>
      </w:r>
      <w:r w:rsidRPr="00DE63D3">
        <w:rPr>
          <w:rFonts w:cs="Arial"/>
          <w:szCs w:val="24"/>
        </w:rPr>
        <w:t xml:space="preserve">, it can be included as a reference bond for the purposes of a </w:t>
      </w:r>
      <w:r w:rsidR="00B02819">
        <w:rPr>
          <w:rFonts w:cs="Arial"/>
          <w:szCs w:val="24"/>
        </w:rPr>
        <w:t>sovereign annuity</w:t>
      </w:r>
      <w:r w:rsidR="00B02819" w:rsidRPr="00DE63D3">
        <w:rPr>
          <w:rFonts w:cs="Arial"/>
          <w:szCs w:val="24"/>
        </w:rPr>
        <w:t xml:space="preserve"> </w:t>
      </w:r>
      <w:r w:rsidRPr="00DE63D3">
        <w:rPr>
          <w:rFonts w:cs="Arial"/>
          <w:szCs w:val="24"/>
        </w:rPr>
        <w:t>and payments under that annuity can be reduced if there is an event of non-performance</w:t>
      </w:r>
      <w:r w:rsidR="000B7FE0">
        <w:rPr>
          <w:rFonts w:cs="Arial"/>
          <w:szCs w:val="24"/>
        </w:rPr>
        <w:t xml:space="preserve"> </w:t>
      </w:r>
      <w:r w:rsidRPr="00DE63D3">
        <w:rPr>
          <w:rFonts w:cs="Arial"/>
          <w:szCs w:val="24"/>
        </w:rPr>
        <w:t xml:space="preserve">in relation to that bond. </w:t>
      </w:r>
      <w:r w:rsidR="0016747F" w:rsidRPr="00DE63D3">
        <w:rPr>
          <w:rFonts w:cs="Arial"/>
          <w:szCs w:val="24"/>
        </w:rPr>
        <w:t>The Authority</w:t>
      </w:r>
      <w:r w:rsidRPr="00DE63D3">
        <w:rPr>
          <w:rFonts w:cs="Arial"/>
          <w:szCs w:val="24"/>
        </w:rPr>
        <w:t xml:space="preserve"> has no role in assessing the creditworthiness or otherwise of the reference bonds underlying </w:t>
      </w:r>
      <w:r w:rsidR="00B02819">
        <w:rPr>
          <w:rFonts w:cs="Arial"/>
          <w:szCs w:val="24"/>
        </w:rPr>
        <w:t>s</w:t>
      </w:r>
      <w:r w:rsidRPr="00DE63D3">
        <w:rPr>
          <w:rFonts w:cs="Arial"/>
          <w:szCs w:val="24"/>
        </w:rPr>
        <w:t xml:space="preserve">overeign </w:t>
      </w:r>
      <w:r w:rsidR="00B02819">
        <w:rPr>
          <w:rFonts w:cs="Arial"/>
          <w:szCs w:val="24"/>
        </w:rPr>
        <w:t>a</w:t>
      </w:r>
      <w:r w:rsidRPr="00DE63D3">
        <w:rPr>
          <w:rFonts w:cs="Arial"/>
          <w:szCs w:val="24"/>
        </w:rPr>
        <w:t xml:space="preserve">nnuities.   </w:t>
      </w:r>
    </w:p>
    <w:p w14:paraId="49E5C943" w14:textId="77777777" w:rsidR="004F6E8D" w:rsidRPr="00DE63D3" w:rsidRDefault="004F6E8D" w:rsidP="003E5F8A">
      <w:pPr>
        <w:ind w:left="720"/>
        <w:rPr>
          <w:rFonts w:cs="Arial"/>
          <w:szCs w:val="24"/>
        </w:rPr>
      </w:pPr>
    </w:p>
    <w:p w14:paraId="0F66DE9E" w14:textId="5FF75A9B" w:rsidR="004F6E8D" w:rsidRPr="00DE63D3" w:rsidRDefault="004F6E8D" w:rsidP="003E5F8A">
      <w:pPr>
        <w:ind w:left="0" w:firstLine="0"/>
        <w:rPr>
          <w:rFonts w:cs="Arial"/>
          <w:szCs w:val="24"/>
        </w:rPr>
      </w:pPr>
      <w:r w:rsidRPr="00DE63D3">
        <w:rPr>
          <w:rFonts w:cs="Arial"/>
          <w:szCs w:val="24"/>
        </w:rPr>
        <w:t xml:space="preserve">In summary, certification of the </w:t>
      </w:r>
      <w:r w:rsidR="00B02819">
        <w:rPr>
          <w:rFonts w:cs="Arial"/>
          <w:szCs w:val="24"/>
        </w:rPr>
        <w:t>sovereign annuity</w:t>
      </w:r>
      <w:r w:rsidR="00B02819" w:rsidRPr="00DE63D3">
        <w:rPr>
          <w:rFonts w:cs="Arial"/>
          <w:szCs w:val="24"/>
        </w:rPr>
        <w:t xml:space="preserve"> </w:t>
      </w:r>
      <w:r w:rsidRPr="00DE63D3">
        <w:rPr>
          <w:rFonts w:cs="Arial"/>
          <w:szCs w:val="24"/>
        </w:rPr>
        <w:t xml:space="preserve">policy by </w:t>
      </w:r>
      <w:r w:rsidR="0016747F" w:rsidRPr="00DE63D3">
        <w:rPr>
          <w:rFonts w:cs="Arial"/>
          <w:szCs w:val="24"/>
        </w:rPr>
        <w:t>the Authority</w:t>
      </w:r>
      <w:r w:rsidRPr="00DE63D3">
        <w:rPr>
          <w:rFonts w:cs="Arial"/>
          <w:szCs w:val="24"/>
        </w:rPr>
        <w:t xml:space="preserve"> should not be construed as an approval or otherwise of the appropriateness of any individual policy or its use in any </w:t>
      </w:r>
      <w:proofErr w:type="gramStart"/>
      <w:r w:rsidRPr="00DE63D3">
        <w:rPr>
          <w:rFonts w:cs="Arial"/>
          <w:szCs w:val="24"/>
        </w:rPr>
        <w:t>particular circumstances</w:t>
      </w:r>
      <w:proofErr w:type="gramEnd"/>
      <w:r w:rsidRPr="00DE63D3">
        <w:rPr>
          <w:rFonts w:cs="Arial"/>
          <w:szCs w:val="24"/>
        </w:rPr>
        <w:t xml:space="preserve">.  </w:t>
      </w:r>
    </w:p>
    <w:bookmarkEnd w:id="5"/>
    <w:p w14:paraId="78770D9D" w14:textId="77777777" w:rsidR="004F6E8D" w:rsidRPr="00DE63D3" w:rsidRDefault="004F6E8D" w:rsidP="003E5F8A">
      <w:pPr>
        <w:rPr>
          <w:rFonts w:cs="Arial"/>
          <w:szCs w:val="24"/>
        </w:rPr>
      </w:pPr>
    </w:p>
    <w:p w14:paraId="0A524569" w14:textId="451D0761" w:rsidR="00226A1B" w:rsidRPr="004635CB" w:rsidRDefault="001F221D" w:rsidP="001025A9">
      <w:pPr>
        <w:pStyle w:val="Heading4"/>
        <w:ind w:left="0" w:firstLine="0"/>
      </w:pPr>
      <w:bookmarkStart w:id="6" w:name="_Toc139446069"/>
      <w:bookmarkStart w:id="7" w:name="Q4"/>
      <w:r w:rsidRPr="004635CB">
        <w:lastRenderedPageBreak/>
        <w:t>Is there</w:t>
      </w:r>
      <w:r w:rsidR="00226A1B" w:rsidRPr="004635CB">
        <w:t xml:space="preserve"> a register of specimen policies certified by </w:t>
      </w:r>
      <w:r w:rsidR="000815B8" w:rsidRPr="004635CB">
        <w:t>t</w:t>
      </w:r>
      <w:r w:rsidR="0016747F" w:rsidRPr="004635CB">
        <w:t>he Pensions</w:t>
      </w:r>
      <w:r w:rsidR="000815B8" w:rsidRPr="004635CB">
        <w:t xml:space="preserve"> Authority</w:t>
      </w:r>
      <w:r w:rsidR="00226A1B" w:rsidRPr="004635CB">
        <w:t>?</w:t>
      </w:r>
      <w:bookmarkEnd w:id="6"/>
    </w:p>
    <w:bookmarkEnd w:id="7"/>
    <w:p w14:paraId="0153903A" w14:textId="0E9AEA8F" w:rsidR="00226A1B" w:rsidRPr="00DE63D3" w:rsidRDefault="00226A1B" w:rsidP="003E5F8A">
      <w:pPr>
        <w:ind w:left="0" w:firstLine="0"/>
        <w:rPr>
          <w:rFonts w:cs="Arial"/>
          <w:szCs w:val="24"/>
        </w:rPr>
      </w:pPr>
      <w:r w:rsidRPr="00DE63D3">
        <w:rPr>
          <w:rFonts w:cs="Arial"/>
          <w:szCs w:val="24"/>
        </w:rPr>
        <w:t xml:space="preserve">Yes, </w:t>
      </w:r>
      <w:r w:rsidR="0016747F" w:rsidRPr="00DE63D3">
        <w:rPr>
          <w:rFonts w:cs="Arial"/>
          <w:szCs w:val="24"/>
        </w:rPr>
        <w:t>the Authority</w:t>
      </w:r>
      <w:r w:rsidR="001F221D">
        <w:rPr>
          <w:rFonts w:cs="Arial"/>
          <w:szCs w:val="24"/>
        </w:rPr>
        <w:t xml:space="preserve"> </w:t>
      </w:r>
      <w:r w:rsidRPr="00DE63D3">
        <w:rPr>
          <w:rFonts w:cs="Arial"/>
          <w:szCs w:val="24"/>
        </w:rPr>
        <w:t>maintain</w:t>
      </w:r>
      <w:r w:rsidR="001F221D">
        <w:rPr>
          <w:rFonts w:cs="Arial"/>
          <w:szCs w:val="24"/>
        </w:rPr>
        <w:t>s</w:t>
      </w:r>
      <w:r w:rsidRPr="00DE63D3">
        <w:rPr>
          <w:rFonts w:cs="Arial"/>
          <w:szCs w:val="24"/>
        </w:rPr>
        <w:t xml:space="preserve"> a publicly available register of all specimen policies which it has certified. All </w:t>
      </w:r>
      <w:r w:rsidR="00B02819">
        <w:rPr>
          <w:rFonts w:cs="Arial"/>
          <w:szCs w:val="24"/>
        </w:rPr>
        <w:t>sovereign annuity</w:t>
      </w:r>
      <w:r w:rsidRPr="00DE63D3">
        <w:rPr>
          <w:rFonts w:cs="Arial"/>
          <w:szCs w:val="24"/>
        </w:rPr>
        <w:t xml:space="preserve"> policies should carry a registration number assigned by </w:t>
      </w:r>
      <w:r w:rsidR="0016747F" w:rsidRPr="00DE63D3">
        <w:rPr>
          <w:rFonts w:cs="Arial"/>
          <w:szCs w:val="24"/>
        </w:rPr>
        <w:t>the Authority</w:t>
      </w:r>
      <w:r w:rsidRPr="00DE63D3">
        <w:rPr>
          <w:rFonts w:cs="Arial"/>
          <w:szCs w:val="24"/>
        </w:rPr>
        <w:t xml:space="preserve"> when the specimen form of policy under which it is issued was certified by </w:t>
      </w:r>
      <w:r w:rsidR="0016747F" w:rsidRPr="00DE63D3">
        <w:rPr>
          <w:rFonts w:cs="Arial"/>
          <w:szCs w:val="24"/>
        </w:rPr>
        <w:t>the Authority</w:t>
      </w:r>
      <w:r w:rsidRPr="00DE63D3">
        <w:rPr>
          <w:rFonts w:cs="Arial"/>
          <w:szCs w:val="24"/>
        </w:rPr>
        <w:t xml:space="preserve">. Trustees </w:t>
      </w:r>
      <w:r w:rsidR="0068700E">
        <w:rPr>
          <w:rFonts w:cs="Arial"/>
          <w:szCs w:val="24"/>
        </w:rPr>
        <w:t>can</w:t>
      </w:r>
      <w:r w:rsidRPr="00DE63D3">
        <w:rPr>
          <w:rFonts w:cs="Arial"/>
          <w:szCs w:val="24"/>
        </w:rPr>
        <w:t xml:space="preserve"> access </w:t>
      </w:r>
      <w:hyperlink r:id="rId8" w:history="1">
        <w:r w:rsidRPr="00A13BCC">
          <w:rPr>
            <w:rStyle w:val="Hyperlink"/>
            <w:rFonts w:cs="Arial"/>
            <w:szCs w:val="24"/>
          </w:rPr>
          <w:t>this register</w:t>
        </w:r>
      </w:hyperlink>
      <w:r w:rsidRPr="00DE63D3">
        <w:rPr>
          <w:rFonts w:cs="Arial"/>
          <w:szCs w:val="24"/>
        </w:rPr>
        <w:t xml:space="preserve"> to check that the registration number corresponds with a specimen form of policy certified by </w:t>
      </w:r>
      <w:r w:rsidR="0016747F" w:rsidRPr="00DE63D3">
        <w:rPr>
          <w:rFonts w:cs="Arial"/>
          <w:szCs w:val="24"/>
        </w:rPr>
        <w:t>the Authority</w:t>
      </w:r>
      <w:r w:rsidRPr="00DE63D3">
        <w:rPr>
          <w:rFonts w:cs="Arial"/>
          <w:szCs w:val="24"/>
        </w:rPr>
        <w:t xml:space="preserve">.  </w:t>
      </w:r>
    </w:p>
    <w:p w14:paraId="7DD0C2C7" w14:textId="1532CC4C" w:rsidR="00226A1B" w:rsidRDefault="00226A1B" w:rsidP="003E5F8A">
      <w:pPr>
        <w:ind w:left="720"/>
        <w:rPr>
          <w:rFonts w:cs="Arial"/>
          <w:szCs w:val="24"/>
        </w:rPr>
      </w:pPr>
    </w:p>
    <w:p w14:paraId="4CCD57F6" w14:textId="41657638" w:rsidR="004F6E8D" w:rsidRPr="004635CB" w:rsidRDefault="004F6E8D" w:rsidP="001A29D1">
      <w:pPr>
        <w:pStyle w:val="Heading4"/>
        <w:ind w:left="567" w:hanging="567"/>
      </w:pPr>
      <w:bookmarkStart w:id="8" w:name="Q5"/>
      <w:bookmarkStart w:id="9" w:name="_Toc139446070"/>
      <w:r w:rsidRPr="004635CB">
        <w:t xml:space="preserve">Who can purchase </w:t>
      </w:r>
      <w:r w:rsidR="00B02819" w:rsidRPr="004635CB">
        <w:t>s</w:t>
      </w:r>
      <w:r w:rsidRPr="004635CB">
        <w:t xml:space="preserve">overeign </w:t>
      </w:r>
      <w:r w:rsidR="00B02819" w:rsidRPr="004635CB">
        <w:t>a</w:t>
      </w:r>
      <w:r w:rsidRPr="004635CB">
        <w:t>nnuities?</w:t>
      </w:r>
      <w:bookmarkEnd w:id="8"/>
      <w:bookmarkEnd w:id="9"/>
    </w:p>
    <w:p w14:paraId="2C1054F2" w14:textId="3F1D3E99" w:rsidR="004F6E8D" w:rsidRPr="00DE63D3" w:rsidRDefault="004F6E8D" w:rsidP="003E5F8A">
      <w:pPr>
        <w:ind w:left="0" w:firstLine="0"/>
        <w:rPr>
          <w:rFonts w:cs="Arial"/>
          <w:szCs w:val="24"/>
        </w:rPr>
      </w:pPr>
      <w:r w:rsidRPr="00DE63D3">
        <w:rPr>
          <w:rFonts w:cs="Arial"/>
          <w:szCs w:val="24"/>
        </w:rPr>
        <w:t xml:space="preserve">Sovereign </w:t>
      </w:r>
      <w:r w:rsidR="00B02819">
        <w:rPr>
          <w:rFonts w:cs="Arial"/>
          <w:szCs w:val="24"/>
        </w:rPr>
        <w:t>a</w:t>
      </w:r>
      <w:r w:rsidRPr="00DE63D3">
        <w:rPr>
          <w:rFonts w:cs="Arial"/>
          <w:szCs w:val="24"/>
        </w:rPr>
        <w:t>nnuities can only be purchased by the trustees of an occupational pension scheme (as defined in the Act). Broadly, this encompasses Revenue approved defined benefit and defined contribution pension schemes.</w:t>
      </w:r>
    </w:p>
    <w:p w14:paraId="09979445" w14:textId="77777777" w:rsidR="004F6E8D" w:rsidRPr="00DE63D3" w:rsidRDefault="004F6E8D" w:rsidP="003E5F8A">
      <w:pPr>
        <w:rPr>
          <w:rFonts w:cs="Arial"/>
          <w:szCs w:val="24"/>
        </w:rPr>
      </w:pPr>
    </w:p>
    <w:p w14:paraId="171FD211" w14:textId="14141041" w:rsidR="004F6E8D" w:rsidRPr="004635CB" w:rsidRDefault="004F6E8D" w:rsidP="001A29D1">
      <w:pPr>
        <w:pStyle w:val="Heading4"/>
        <w:ind w:left="567" w:hanging="567"/>
      </w:pPr>
      <w:bookmarkStart w:id="10" w:name="_Toc139446071"/>
      <w:bookmarkStart w:id="11" w:name="Q6"/>
      <w:r w:rsidRPr="004635CB">
        <w:t xml:space="preserve">When can trustees purchase </w:t>
      </w:r>
      <w:r w:rsidR="00B02819" w:rsidRPr="004635CB">
        <w:t>s</w:t>
      </w:r>
      <w:r w:rsidRPr="004635CB">
        <w:t xml:space="preserve">overeign </w:t>
      </w:r>
      <w:r w:rsidR="00B02819" w:rsidRPr="004635CB">
        <w:t>a</w:t>
      </w:r>
      <w:r w:rsidRPr="004635CB">
        <w:t>nnuities?</w:t>
      </w:r>
      <w:bookmarkEnd w:id="10"/>
    </w:p>
    <w:bookmarkEnd w:id="11"/>
    <w:p w14:paraId="08ECC7E0" w14:textId="2D6674C4" w:rsidR="00CB285E" w:rsidRDefault="004F6E8D" w:rsidP="003E5F8A">
      <w:pPr>
        <w:ind w:left="0" w:firstLine="0"/>
        <w:rPr>
          <w:rFonts w:cs="Arial"/>
          <w:szCs w:val="24"/>
        </w:rPr>
      </w:pPr>
      <w:r w:rsidRPr="00DE63D3">
        <w:rPr>
          <w:rFonts w:cs="Arial"/>
          <w:szCs w:val="24"/>
        </w:rPr>
        <w:t xml:space="preserve">The trustees of a scheme can purchase </w:t>
      </w:r>
      <w:r w:rsidR="00B02819">
        <w:rPr>
          <w:rFonts w:cs="Arial"/>
          <w:szCs w:val="24"/>
        </w:rPr>
        <w:t>s</w:t>
      </w:r>
      <w:r w:rsidRPr="00DE63D3">
        <w:rPr>
          <w:rFonts w:cs="Arial"/>
          <w:szCs w:val="24"/>
        </w:rPr>
        <w:t xml:space="preserve">overeign </w:t>
      </w:r>
      <w:r w:rsidR="00B02819">
        <w:rPr>
          <w:rFonts w:cs="Arial"/>
          <w:szCs w:val="24"/>
        </w:rPr>
        <w:t>a</w:t>
      </w:r>
      <w:r w:rsidRPr="00DE63D3">
        <w:rPr>
          <w:rFonts w:cs="Arial"/>
          <w:szCs w:val="24"/>
        </w:rPr>
        <w:t xml:space="preserve">nnuities at any time notwithstanding anything contained in the rules of the scheme. However, </w:t>
      </w:r>
      <w:r w:rsidR="00B02819">
        <w:rPr>
          <w:rFonts w:cs="Arial"/>
          <w:szCs w:val="24"/>
        </w:rPr>
        <w:t>s</w:t>
      </w:r>
      <w:r w:rsidRPr="00DE63D3">
        <w:rPr>
          <w:rFonts w:cs="Arial"/>
          <w:szCs w:val="24"/>
        </w:rPr>
        <w:t xml:space="preserve">overeign </w:t>
      </w:r>
      <w:r w:rsidR="00B02819">
        <w:rPr>
          <w:rFonts w:cs="Arial"/>
          <w:szCs w:val="24"/>
        </w:rPr>
        <w:t>a</w:t>
      </w:r>
      <w:r w:rsidRPr="00DE63D3">
        <w:rPr>
          <w:rFonts w:cs="Arial"/>
          <w:szCs w:val="24"/>
        </w:rPr>
        <w:t>nnuities can only be purchased by trustees in respect of a person who is receiving benefits under the scheme or has reached normal pensionable age (</w:t>
      </w:r>
      <w:r w:rsidR="00B02819">
        <w:rPr>
          <w:rFonts w:cs="Arial"/>
          <w:szCs w:val="24"/>
        </w:rPr>
        <w:t>s</w:t>
      </w:r>
      <w:r w:rsidRPr="00DE63D3">
        <w:rPr>
          <w:rFonts w:cs="Arial"/>
          <w:szCs w:val="24"/>
        </w:rPr>
        <w:t xml:space="preserve">overeign </w:t>
      </w:r>
      <w:r w:rsidR="00B02819">
        <w:rPr>
          <w:rFonts w:cs="Arial"/>
          <w:szCs w:val="24"/>
        </w:rPr>
        <w:t>a</w:t>
      </w:r>
      <w:r w:rsidRPr="00DE63D3">
        <w:rPr>
          <w:rFonts w:cs="Arial"/>
          <w:szCs w:val="24"/>
        </w:rPr>
        <w:t xml:space="preserve">nnuities cannot be used for any other scheme liabilities).  </w:t>
      </w:r>
    </w:p>
    <w:p w14:paraId="7EBC95D7" w14:textId="77777777" w:rsidR="00CB285E" w:rsidRDefault="00CB285E" w:rsidP="003E5F8A">
      <w:pPr>
        <w:rPr>
          <w:rFonts w:cs="Arial"/>
          <w:szCs w:val="24"/>
        </w:rPr>
      </w:pPr>
    </w:p>
    <w:p w14:paraId="5CA59960" w14:textId="68252752" w:rsidR="00FD3337" w:rsidRDefault="004F6E8D" w:rsidP="003E5F8A">
      <w:pPr>
        <w:ind w:left="0" w:firstLine="0"/>
        <w:rPr>
          <w:rFonts w:cs="Arial"/>
          <w:szCs w:val="24"/>
        </w:rPr>
      </w:pPr>
      <w:r w:rsidRPr="00DE63D3">
        <w:rPr>
          <w:rFonts w:cs="Arial"/>
          <w:szCs w:val="24"/>
        </w:rPr>
        <w:t xml:space="preserve">Sovereign </w:t>
      </w:r>
      <w:r w:rsidR="00B02819">
        <w:rPr>
          <w:rFonts w:cs="Arial"/>
          <w:szCs w:val="24"/>
        </w:rPr>
        <w:t>a</w:t>
      </w:r>
      <w:r w:rsidRPr="00DE63D3">
        <w:rPr>
          <w:rFonts w:cs="Arial"/>
          <w:szCs w:val="24"/>
        </w:rPr>
        <w:t xml:space="preserve">nnuities can either be purchased and held by the trustees within the scheme or used by the trustees to discharge the liability of the scheme for some or </w:t>
      </w:r>
      <w:r w:rsidR="0068700E" w:rsidRPr="00DE63D3">
        <w:rPr>
          <w:rFonts w:cs="Arial"/>
          <w:szCs w:val="24"/>
        </w:rPr>
        <w:t>all</w:t>
      </w:r>
      <w:r w:rsidRPr="00DE63D3">
        <w:rPr>
          <w:rFonts w:cs="Arial"/>
          <w:szCs w:val="24"/>
        </w:rPr>
        <w:t xml:space="preserve"> the benefits payable in respect of a person. Where trustees purchase </w:t>
      </w:r>
      <w:r w:rsidR="00B02819">
        <w:rPr>
          <w:rFonts w:cs="Arial"/>
          <w:szCs w:val="24"/>
        </w:rPr>
        <w:t>s</w:t>
      </w:r>
      <w:r w:rsidRPr="00DE63D3">
        <w:rPr>
          <w:rFonts w:cs="Arial"/>
          <w:szCs w:val="24"/>
        </w:rPr>
        <w:t xml:space="preserve">overeign </w:t>
      </w:r>
      <w:r w:rsidR="00B02819">
        <w:rPr>
          <w:rFonts w:cs="Arial"/>
          <w:szCs w:val="24"/>
        </w:rPr>
        <w:t>a</w:t>
      </w:r>
      <w:r w:rsidRPr="00DE63D3">
        <w:rPr>
          <w:rFonts w:cs="Arial"/>
          <w:szCs w:val="24"/>
        </w:rPr>
        <w:t xml:space="preserve">nnuities in the name of the scheme, the liability to which they relate continues to be a liability of the scheme and that liability will not be affected by a reduction in payments under the </w:t>
      </w:r>
      <w:r w:rsidR="00B02819">
        <w:rPr>
          <w:rFonts w:cs="Arial"/>
          <w:szCs w:val="24"/>
        </w:rPr>
        <w:t>sovereign annuity</w:t>
      </w:r>
      <w:r w:rsidR="00B02819" w:rsidRPr="00DE63D3">
        <w:rPr>
          <w:rFonts w:cs="Arial"/>
          <w:szCs w:val="24"/>
        </w:rPr>
        <w:t xml:space="preserve"> </w:t>
      </w:r>
      <w:r w:rsidRPr="00DE63D3">
        <w:rPr>
          <w:rFonts w:cs="Arial"/>
          <w:szCs w:val="24"/>
        </w:rPr>
        <w:t>due to an event of non-performance. On the other hand, where trustees purchase a sovereign annuity to discharge the scheme’s obligations in respect of a person, the scheme’s liability to that person ceases and, if an event of non-performance subsequently occurs which results in a reduction in payments under the sovereign annuity, it is th</w:t>
      </w:r>
      <w:r w:rsidR="003B113A" w:rsidRPr="00DE63D3">
        <w:rPr>
          <w:rFonts w:cs="Arial"/>
          <w:szCs w:val="24"/>
        </w:rPr>
        <w:t>at</w:t>
      </w:r>
      <w:r w:rsidRPr="00DE63D3">
        <w:rPr>
          <w:rFonts w:cs="Arial"/>
          <w:szCs w:val="24"/>
        </w:rPr>
        <w:t xml:space="preserve"> person who will suffer the reduction.</w:t>
      </w:r>
    </w:p>
    <w:p w14:paraId="245C8408" w14:textId="0C41F91B" w:rsidR="00F1716F" w:rsidRDefault="00F1716F" w:rsidP="003E5F8A">
      <w:pPr>
        <w:ind w:left="720"/>
        <w:rPr>
          <w:rFonts w:cs="Arial"/>
          <w:szCs w:val="24"/>
        </w:rPr>
      </w:pPr>
    </w:p>
    <w:p w14:paraId="3D3696FA" w14:textId="0ABC6A69" w:rsidR="004F6E8D" w:rsidRPr="004635CB" w:rsidRDefault="004F6E8D" w:rsidP="001A29D1">
      <w:pPr>
        <w:pStyle w:val="Heading4"/>
        <w:ind w:left="567" w:hanging="567"/>
      </w:pPr>
      <w:bookmarkStart w:id="12" w:name="_Toc139446072"/>
      <w:bookmarkStart w:id="13" w:name="Q7"/>
      <w:r w:rsidRPr="004635CB">
        <w:t>Should trustees purchase sovereign annuities?</w:t>
      </w:r>
      <w:bookmarkEnd w:id="12"/>
    </w:p>
    <w:bookmarkEnd w:id="13"/>
    <w:p w14:paraId="3FE311E2" w14:textId="77777777" w:rsidR="003E5F8A" w:rsidRDefault="004F6E8D" w:rsidP="003E5F8A">
      <w:pPr>
        <w:ind w:left="0" w:firstLine="0"/>
        <w:rPr>
          <w:rFonts w:cs="Arial"/>
          <w:szCs w:val="24"/>
        </w:rPr>
      </w:pPr>
      <w:r w:rsidRPr="00DE63D3">
        <w:rPr>
          <w:rFonts w:cs="Arial"/>
          <w:szCs w:val="24"/>
        </w:rPr>
        <w:t xml:space="preserve">It </w:t>
      </w:r>
      <w:r w:rsidR="00B02819">
        <w:rPr>
          <w:rFonts w:cs="Arial"/>
          <w:szCs w:val="24"/>
        </w:rPr>
        <w:t>is</w:t>
      </w:r>
      <w:r w:rsidRPr="00DE63D3">
        <w:rPr>
          <w:rFonts w:cs="Arial"/>
          <w:szCs w:val="24"/>
        </w:rPr>
        <w:t xml:space="preserve"> a matter for the trustees of a scheme in any </w:t>
      </w:r>
      <w:r w:rsidR="00E84597" w:rsidRPr="00DE63D3">
        <w:rPr>
          <w:rFonts w:cs="Arial"/>
          <w:szCs w:val="24"/>
        </w:rPr>
        <w:t>case</w:t>
      </w:r>
      <w:r w:rsidRPr="00DE63D3">
        <w:rPr>
          <w:rFonts w:cs="Arial"/>
          <w:szCs w:val="24"/>
        </w:rPr>
        <w:t xml:space="preserve"> to decide, having taken appropriate legal, actuarial and/or financial advice, whether to purchase </w:t>
      </w:r>
      <w:r w:rsidR="00B02819">
        <w:rPr>
          <w:rFonts w:cs="Arial"/>
          <w:szCs w:val="24"/>
        </w:rPr>
        <w:t>s</w:t>
      </w:r>
      <w:r w:rsidRPr="00DE63D3">
        <w:rPr>
          <w:rFonts w:cs="Arial"/>
          <w:szCs w:val="24"/>
        </w:rPr>
        <w:t xml:space="preserve">overeign </w:t>
      </w:r>
      <w:r w:rsidR="00B02819">
        <w:rPr>
          <w:rFonts w:cs="Arial"/>
          <w:szCs w:val="24"/>
        </w:rPr>
        <w:t>a</w:t>
      </w:r>
      <w:r w:rsidRPr="00DE63D3">
        <w:rPr>
          <w:rFonts w:cs="Arial"/>
          <w:szCs w:val="24"/>
        </w:rPr>
        <w:t xml:space="preserve">nnuities. As mentioned above, </w:t>
      </w:r>
      <w:r w:rsidR="000815B8" w:rsidRPr="00DE63D3">
        <w:rPr>
          <w:rFonts w:cs="Arial"/>
          <w:szCs w:val="24"/>
        </w:rPr>
        <w:t>the Authority</w:t>
      </w:r>
      <w:r w:rsidRPr="00DE63D3">
        <w:rPr>
          <w:rFonts w:cs="Arial"/>
          <w:szCs w:val="24"/>
        </w:rPr>
        <w:t xml:space="preserve"> has no role in assessing matters such as the reference bonds to be used and their creditworthiness and the percentage reduction that can be applied under the sovereign annuity. Consequently</w:t>
      </w:r>
      <w:r w:rsidR="00270362">
        <w:rPr>
          <w:rFonts w:cs="Arial"/>
          <w:szCs w:val="24"/>
        </w:rPr>
        <w:t>,</w:t>
      </w:r>
      <w:r w:rsidRPr="00DE63D3">
        <w:rPr>
          <w:rFonts w:cs="Arial"/>
          <w:szCs w:val="24"/>
        </w:rPr>
        <w:t xml:space="preserve"> trustees will themselves need to assess, having taken such advice as they deem necessary, the appropriateness of both the use of </w:t>
      </w:r>
      <w:r w:rsidR="00B02819">
        <w:rPr>
          <w:rFonts w:cs="Arial"/>
          <w:szCs w:val="24"/>
        </w:rPr>
        <w:t>s</w:t>
      </w:r>
      <w:r w:rsidRPr="00DE63D3">
        <w:rPr>
          <w:rFonts w:cs="Arial"/>
          <w:szCs w:val="24"/>
        </w:rPr>
        <w:t xml:space="preserve">overeign </w:t>
      </w:r>
      <w:r w:rsidR="00B02819">
        <w:rPr>
          <w:rFonts w:cs="Arial"/>
          <w:szCs w:val="24"/>
        </w:rPr>
        <w:t>a</w:t>
      </w:r>
      <w:r w:rsidRPr="00DE63D3">
        <w:rPr>
          <w:rFonts w:cs="Arial"/>
          <w:szCs w:val="24"/>
        </w:rPr>
        <w:t xml:space="preserve">nnuities in any </w:t>
      </w:r>
      <w:r w:rsidR="00E84597" w:rsidRPr="00DE63D3">
        <w:rPr>
          <w:rFonts w:cs="Arial"/>
          <w:szCs w:val="24"/>
        </w:rPr>
        <w:t>circumstances</w:t>
      </w:r>
      <w:r w:rsidRPr="00DE63D3">
        <w:rPr>
          <w:rFonts w:cs="Arial"/>
          <w:szCs w:val="24"/>
        </w:rPr>
        <w:t xml:space="preserve"> and the sovereign annuity terms offered by an insurer. </w:t>
      </w:r>
    </w:p>
    <w:p w14:paraId="3920CF80" w14:textId="07AAD611" w:rsidR="004F6E8D" w:rsidRPr="00DE63D3" w:rsidRDefault="004F6E8D" w:rsidP="003E5F8A">
      <w:pPr>
        <w:ind w:left="0" w:firstLine="0"/>
        <w:rPr>
          <w:rFonts w:cs="Arial"/>
          <w:szCs w:val="24"/>
        </w:rPr>
      </w:pPr>
      <w:r w:rsidRPr="00DE63D3">
        <w:rPr>
          <w:rFonts w:cs="Arial"/>
          <w:szCs w:val="24"/>
        </w:rPr>
        <w:t xml:space="preserve"> </w:t>
      </w:r>
    </w:p>
    <w:p w14:paraId="3B48CCDD" w14:textId="778920D4" w:rsidR="004F6E8D" w:rsidRPr="003E5F8A" w:rsidRDefault="004F6E8D" w:rsidP="001025A9">
      <w:pPr>
        <w:pStyle w:val="Heading4"/>
        <w:ind w:left="0" w:firstLine="0"/>
      </w:pPr>
      <w:bookmarkStart w:id="14" w:name="_Toc139446073"/>
      <w:bookmarkStart w:id="15" w:name="Q8"/>
      <w:r w:rsidRPr="004635CB">
        <w:lastRenderedPageBreak/>
        <w:t xml:space="preserve">Can trustees be liable for breach of trust if they purchase </w:t>
      </w:r>
      <w:r w:rsidR="00B02819" w:rsidRPr="004635CB">
        <w:t>s</w:t>
      </w:r>
      <w:r w:rsidRPr="004635CB">
        <w:t xml:space="preserve">overeign </w:t>
      </w:r>
      <w:r w:rsidR="00B02819" w:rsidRPr="004635CB">
        <w:t>a</w:t>
      </w:r>
      <w:r w:rsidRPr="004635CB">
        <w:t>nnuities and payments are subsequently reduced?</w:t>
      </w:r>
      <w:bookmarkEnd w:id="14"/>
    </w:p>
    <w:bookmarkEnd w:id="15"/>
    <w:p w14:paraId="4D22183E" w14:textId="71E6ADCF" w:rsidR="004F6E8D" w:rsidRPr="00DE63D3" w:rsidRDefault="004F6E8D" w:rsidP="003E5F8A">
      <w:pPr>
        <w:ind w:left="0" w:firstLine="0"/>
        <w:rPr>
          <w:rFonts w:cs="Arial"/>
          <w:szCs w:val="24"/>
        </w:rPr>
      </w:pPr>
      <w:r w:rsidRPr="00DE63D3">
        <w:rPr>
          <w:rFonts w:cs="Arial"/>
          <w:szCs w:val="24"/>
        </w:rPr>
        <w:t xml:space="preserve">As mentioned above, trustees need to decide whether it is appropriate in all the circumstances to purchase </w:t>
      </w:r>
      <w:r w:rsidR="00B02819">
        <w:rPr>
          <w:rFonts w:cs="Arial"/>
          <w:szCs w:val="24"/>
        </w:rPr>
        <w:t>s</w:t>
      </w:r>
      <w:r w:rsidRPr="00DE63D3">
        <w:rPr>
          <w:rFonts w:cs="Arial"/>
          <w:szCs w:val="24"/>
        </w:rPr>
        <w:t xml:space="preserve">overeign </w:t>
      </w:r>
      <w:r w:rsidR="00B02819">
        <w:rPr>
          <w:rFonts w:cs="Arial"/>
          <w:szCs w:val="24"/>
        </w:rPr>
        <w:t>a</w:t>
      </w:r>
      <w:r w:rsidRPr="00DE63D3">
        <w:rPr>
          <w:rFonts w:cs="Arial"/>
          <w:szCs w:val="24"/>
        </w:rPr>
        <w:t>nnuities. The Act give</w:t>
      </w:r>
      <w:r w:rsidR="009121FA">
        <w:rPr>
          <w:rFonts w:cs="Arial"/>
          <w:szCs w:val="24"/>
        </w:rPr>
        <w:t>s</w:t>
      </w:r>
      <w:r w:rsidRPr="00DE63D3">
        <w:rPr>
          <w:rFonts w:cs="Arial"/>
          <w:szCs w:val="24"/>
        </w:rPr>
        <w:t xml:space="preserve"> a court the power, if proceedings for breach of trust are brought against trustees for having purchased </w:t>
      </w:r>
      <w:r w:rsidR="00B02819">
        <w:rPr>
          <w:rFonts w:cs="Arial"/>
          <w:szCs w:val="24"/>
        </w:rPr>
        <w:t>s</w:t>
      </w:r>
      <w:r w:rsidRPr="00DE63D3">
        <w:rPr>
          <w:rFonts w:cs="Arial"/>
          <w:szCs w:val="24"/>
        </w:rPr>
        <w:t xml:space="preserve">overeign </w:t>
      </w:r>
      <w:r w:rsidR="00B02819">
        <w:rPr>
          <w:rFonts w:cs="Arial"/>
          <w:szCs w:val="24"/>
        </w:rPr>
        <w:t>a</w:t>
      </w:r>
      <w:r w:rsidRPr="00DE63D3">
        <w:rPr>
          <w:rFonts w:cs="Arial"/>
          <w:szCs w:val="24"/>
        </w:rPr>
        <w:t>nnuities, to relieve a trustee from liability (wholly or partly) where it appears to the court that the trustee has acted honestly and reasonably and ought fairly to be excused.</w:t>
      </w:r>
    </w:p>
    <w:p w14:paraId="3008EE59" w14:textId="77777777" w:rsidR="00B0385F" w:rsidRPr="00DE63D3" w:rsidRDefault="00B0385F" w:rsidP="003E5F8A">
      <w:pPr>
        <w:rPr>
          <w:rFonts w:cs="Arial"/>
          <w:szCs w:val="24"/>
        </w:rPr>
      </w:pPr>
    </w:p>
    <w:p w14:paraId="61AC8E6B" w14:textId="60997054" w:rsidR="00CC6042" w:rsidRPr="003E5F8A" w:rsidRDefault="00CC6042" w:rsidP="001A29D1">
      <w:pPr>
        <w:pStyle w:val="Heading4"/>
        <w:ind w:left="567" w:hanging="567"/>
      </w:pPr>
      <w:bookmarkStart w:id="16" w:name="_Toc139446074"/>
      <w:bookmarkStart w:id="17" w:name="Q9"/>
      <w:r w:rsidRPr="004635CB">
        <w:t xml:space="preserve">How do </w:t>
      </w:r>
      <w:r w:rsidR="00B02819" w:rsidRPr="004635CB">
        <w:t>s</w:t>
      </w:r>
      <w:r w:rsidRPr="004635CB">
        <w:t xml:space="preserve">overeign </w:t>
      </w:r>
      <w:r w:rsidR="00B02819" w:rsidRPr="004635CB">
        <w:t>a</w:t>
      </w:r>
      <w:r w:rsidRPr="004635CB">
        <w:t>nnuities work?</w:t>
      </w:r>
      <w:bookmarkEnd w:id="16"/>
    </w:p>
    <w:bookmarkEnd w:id="17"/>
    <w:p w14:paraId="46B46215" w14:textId="4F86FFFF" w:rsidR="00CC6042" w:rsidRPr="00DE63D3" w:rsidRDefault="00CC6042" w:rsidP="003E5F8A">
      <w:pPr>
        <w:pStyle w:val="L1Para"/>
        <w:ind w:left="0" w:firstLine="0"/>
        <w:jc w:val="left"/>
        <w:rPr>
          <w:rFonts w:cs="Arial"/>
          <w:sz w:val="24"/>
          <w:szCs w:val="24"/>
        </w:rPr>
      </w:pPr>
      <w:r w:rsidRPr="00DE63D3">
        <w:rPr>
          <w:rFonts w:eastAsiaTheme="majorEastAsia" w:cs="Arial"/>
          <w:bCs/>
          <w:sz w:val="24"/>
          <w:szCs w:val="24"/>
        </w:rPr>
        <w:t>It is important that trustees considering the purchase of</w:t>
      </w:r>
      <w:r w:rsidR="00B02819">
        <w:rPr>
          <w:rFonts w:eastAsiaTheme="majorEastAsia" w:cs="Arial"/>
          <w:bCs/>
          <w:sz w:val="24"/>
          <w:szCs w:val="24"/>
        </w:rPr>
        <w:t xml:space="preserve"> </w:t>
      </w:r>
      <w:r w:rsidR="00B02819">
        <w:rPr>
          <w:rFonts w:cs="Arial"/>
          <w:sz w:val="24"/>
          <w:szCs w:val="24"/>
        </w:rPr>
        <w:t>sovereign annuit</w:t>
      </w:r>
      <w:r w:rsidR="00226A1B" w:rsidRPr="00DE63D3">
        <w:rPr>
          <w:rFonts w:eastAsiaTheme="majorEastAsia" w:cs="Arial"/>
          <w:bCs/>
          <w:sz w:val="24"/>
          <w:szCs w:val="24"/>
        </w:rPr>
        <w:t>ies</w:t>
      </w:r>
      <w:r w:rsidRPr="00DE63D3">
        <w:rPr>
          <w:rFonts w:eastAsiaTheme="majorEastAsia" w:cs="Arial"/>
          <w:bCs/>
          <w:sz w:val="24"/>
          <w:szCs w:val="24"/>
        </w:rPr>
        <w:t xml:space="preserve"> understand how </w:t>
      </w:r>
      <w:r w:rsidR="005256B3" w:rsidRPr="00DE63D3">
        <w:rPr>
          <w:rFonts w:eastAsiaTheme="majorEastAsia" w:cs="Arial"/>
          <w:bCs/>
          <w:sz w:val="24"/>
          <w:szCs w:val="24"/>
        </w:rPr>
        <w:t xml:space="preserve">it </w:t>
      </w:r>
      <w:r w:rsidRPr="00DE63D3">
        <w:rPr>
          <w:rFonts w:eastAsiaTheme="majorEastAsia" w:cs="Arial"/>
          <w:bCs/>
          <w:sz w:val="24"/>
          <w:szCs w:val="24"/>
        </w:rPr>
        <w:t>work</w:t>
      </w:r>
      <w:r w:rsidR="005256B3" w:rsidRPr="00DE63D3">
        <w:rPr>
          <w:rFonts w:eastAsiaTheme="majorEastAsia" w:cs="Arial"/>
          <w:bCs/>
          <w:sz w:val="24"/>
          <w:szCs w:val="24"/>
        </w:rPr>
        <w:t>s</w:t>
      </w:r>
      <w:r w:rsidRPr="00DE63D3">
        <w:rPr>
          <w:rFonts w:eastAsiaTheme="majorEastAsia" w:cs="Arial"/>
          <w:bCs/>
          <w:sz w:val="24"/>
          <w:szCs w:val="24"/>
        </w:rPr>
        <w:t xml:space="preserve"> and take appropriate advice. In summary, </w:t>
      </w:r>
      <w:r w:rsidR="005256B3" w:rsidRPr="00DE63D3">
        <w:rPr>
          <w:rFonts w:eastAsiaTheme="majorEastAsia" w:cs="Arial"/>
          <w:bCs/>
          <w:sz w:val="24"/>
          <w:szCs w:val="24"/>
        </w:rPr>
        <w:t xml:space="preserve">some or </w:t>
      </w:r>
      <w:proofErr w:type="gramStart"/>
      <w:r w:rsidR="005256B3" w:rsidRPr="00DE63D3">
        <w:rPr>
          <w:rFonts w:eastAsiaTheme="majorEastAsia" w:cs="Arial"/>
          <w:bCs/>
          <w:sz w:val="24"/>
          <w:szCs w:val="24"/>
        </w:rPr>
        <w:t xml:space="preserve">all </w:t>
      </w:r>
      <w:r w:rsidRPr="00DE63D3">
        <w:rPr>
          <w:rFonts w:eastAsiaTheme="majorEastAsia" w:cs="Arial"/>
          <w:bCs/>
          <w:sz w:val="24"/>
          <w:szCs w:val="24"/>
        </w:rPr>
        <w:t>of</w:t>
      </w:r>
      <w:proofErr w:type="gramEnd"/>
      <w:r w:rsidRPr="00DE63D3">
        <w:rPr>
          <w:rFonts w:eastAsiaTheme="majorEastAsia" w:cs="Arial"/>
          <w:bCs/>
          <w:sz w:val="24"/>
          <w:szCs w:val="24"/>
        </w:rPr>
        <w:t xml:space="preserve"> the payments under the </w:t>
      </w:r>
      <w:r w:rsidR="005256B3" w:rsidRPr="00DE63D3">
        <w:rPr>
          <w:rFonts w:eastAsiaTheme="majorEastAsia" w:cs="Arial"/>
          <w:bCs/>
          <w:sz w:val="24"/>
          <w:szCs w:val="24"/>
        </w:rPr>
        <w:t xml:space="preserve">annuity </w:t>
      </w:r>
      <w:r w:rsidRPr="00DE63D3">
        <w:rPr>
          <w:rFonts w:eastAsiaTheme="majorEastAsia" w:cs="Arial"/>
          <w:bCs/>
          <w:sz w:val="24"/>
          <w:szCs w:val="24"/>
        </w:rPr>
        <w:t xml:space="preserve">will be referenced to one or more sovereign bonds. The basis on which reductions (and any subsequent restorations) of payments will be calculated will depend on the type of policy issued by the insurer. To date all forms of </w:t>
      </w:r>
      <w:r w:rsidR="00B02819">
        <w:rPr>
          <w:rFonts w:cs="Arial"/>
          <w:sz w:val="24"/>
          <w:szCs w:val="24"/>
        </w:rPr>
        <w:t>sovereign annuity</w:t>
      </w:r>
      <w:r w:rsidR="00B02819" w:rsidRPr="00DE63D3">
        <w:rPr>
          <w:rFonts w:eastAsiaTheme="majorEastAsia" w:cs="Arial"/>
          <w:bCs/>
          <w:sz w:val="24"/>
          <w:szCs w:val="24"/>
        </w:rPr>
        <w:t xml:space="preserve"> </w:t>
      </w:r>
      <w:r w:rsidRPr="00DE63D3">
        <w:rPr>
          <w:rFonts w:eastAsiaTheme="majorEastAsia" w:cs="Arial"/>
          <w:bCs/>
          <w:sz w:val="24"/>
          <w:szCs w:val="24"/>
        </w:rPr>
        <w:t xml:space="preserve">policy certified by </w:t>
      </w:r>
      <w:r w:rsidR="000815B8" w:rsidRPr="00DE63D3">
        <w:rPr>
          <w:rFonts w:eastAsiaTheme="majorEastAsia" w:cs="Arial"/>
          <w:bCs/>
          <w:sz w:val="24"/>
          <w:szCs w:val="24"/>
        </w:rPr>
        <w:t>the Authority</w:t>
      </w:r>
      <w:r w:rsidRPr="00DE63D3">
        <w:rPr>
          <w:rFonts w:eastAsiaTheme="majorEastAsia" w:cs="Arial"/>
          <w:bCs/>
          <w:sz w:val="24"/>
          <w:szCs w:val="24"/>
        </w:rPr>
        <w:t xml:space="preserve"> operate on </w:t>
      </w:r>
      <w:r w:rsidR="005256B3" w:rsidRPr="00DE63D3">
        <w:rPr>
          <w:rFonts w:eastAsiaTheme="majorEastAsia" w:cs="Arial"/>
          <w:bCs/>
          <w:sz w:val="24"/>
          <w:szCs w:val="24"/>
        </w:rPr>
        <w:t xml:space="preserve">what is called </w:t>
      </w:r>
      <w:r w:rsidRPr="00DE63D3">
        <w:rPr>
          <w:rFonts w:eastAsiaTheme="majorEastAsia" w:cs="Arial"/>
          <w:bCs/>
          <w:sz w:val="24"/>
          <w:szCs w:val="24"/>
        </w:rPr>
        <w:t xml:space="preserve">the </w:t>
      </w:r>
      <w:r w:rsidR="00B02819">
        <w:rPr>
          <w:rFonts w:eastAsiaTheme="majorEastAsia" w:cs="Arial"/>
          <w:bCs/>
          <w:sz w:val="24"/>
          <w:szCs w:val="24"/>
        </w:rPr>
        <w:t>cashflow basis</w:t>
      </w:r>
      <w:r w:rsidRPr="00DE63D3">
        <w:rPr>
          <w:rFonts w:eastAsiaTheme="majorEastAsia" w:cs="Arial"/>
          <w:bCs/>
          <w:sz w:val="24"/>
          <w:szCs w:val="24"/>
        </w:rPr>
        <w:t>. These FAQs</w:t>
      </w:r>
      <w:r w:rsidR="001F50D2">
        <w:rPr>
          <w:rFonts w:eastAsiaTheme="majorEastAsia" w:cs="Arial"/>
          <w:bCs/>
          <w:sz w:val="24"/>
          <w:szCs w:val="24"/>
        </w:rPr>
        <w:t xml:space="preserve"> </w:t>
      </w:r>
      <w:r w:rsidRPr="00DE63D3">
        <w:rPr>
          <w:rFonts w:eastAsiaTheme="majorEastAsia" w:cs="Arial"/>
          <w:bCs/>
          <w:sz w:val="24"/>
          <w:szCs w:val="24"/>
        </w:rPr>
        <w:t>assum</w:t>
      </w:r>
      <w:r w:rsidR="004A5677">
        <w:rPr>
          <w:rFonts w:eastAsiaTheme="majorEastAsia" w:cs="Arial"/>
          <w:bCs/>
          <w:sz w:val="24"/>
          <w:szCs w:val="24"/>
        </w:rPr>
        <w:t>e</w:t>
      </w:r>
      <w:r w:rsidRPr="00DE63D3">
        <w:rPr>
          <w:rFonts w:eastAsiaTheme="majorEastAsia" w:cs="Arial"/>
          <w:bCs/>
          <w:sz w:val="24"/>
          <w:szCs w:val="24"/>
        </w:rPr>
        <w:t xml:space="preserve"> that the </w:t>
      </w:r>
      <w:r w:rsidR="00B02819">
        <w:rPr>
          <w:rFonts w:eastAsiaTheme="majorEastAsia" w:cs="Arial"/>
          <w:bCs/>
          <w:sz w:val="24"/>
          <w:szCs w:val="24"/>
        </w:rPr>
        <w:t xml:space="preserve">cashflow basis </w:t>
      </w:r>
      <w:r w:rsidRPr="00DE63D3">
        <w:rPr>
          <w:rFonts w:eastAsiaTheme="majorEastAsia" w:cs="Arial"/>
          <w:bCs/>
          <w:sz w:val="24"/>
          <w:szCs w:val="24"/>
        </w:rPr>
        <w:t>i</w:t>
      </w:r>
      <w:r w:rsidR="00750C56" w:rsidRPr="00DE63D3">
        <w:rPr>
          <w:rFonts w:eastAsiaTheme="majorEastAsia" w:cs="Arial"/>
          <w:bCs/>
          <w:sz w:val="24"/>
          <w:szCs w:val="24"/>
        </w:rPr>
        <w:t>s</w:t>
      </w:r>
      <w:r w:rsidRPr="00DE63D3">
        <w:rPr>
          <w:rFonts w:eastAsiaTheme="majorEastAsia" w:cs="Arial"/>
          <w:bCs/>
          <w:sz w:val="24"/>
          <w:szCs w:val="24"/>
        </w:rPr>
        <w:t xml:space="preserve"> being used. Trustees should confirm with their advisers or the insurer concerned that </w:t>
      </w:r>
      <w:r w:rsidR="005256B3" w:rsidRPr="00DE63D3">
        <w:rPr>
          <w:rFonts w:eastAsiaTheme="majorEastAsia" w:cs="Arial"/>
          <w:bCs/>
          <w:sz w:val="24"/>
          <w:szCs w:val="24"/>
        </w:rPr>
        <w:t xml:space="preserve">any sovereign annuity which </w:t>
      </w:r>
      <w:r w:rsidRPr="00DE63D3">
        <w:rPr>
          <w:rFonts w:eastAsiaTheme="majorEastAsia" w:cs="Arial"/>
          <w:bCs/>
          <w:sz w:val="24"/>
          <w:szCs w:val="24"/>
        </w:rPr>
        <w:t>they are considering purchasing will operate on this basis.</w:t>
      </w:r>
    </w:p>
    <w:p w14:paraId="11238A30" w14:textId="77777777" w:rsidR="003B113A" w:rsidRPr="00DE63D3" w:rsidRDefault="003B113A" w:rsidP="003E5F8A">
      <w:pPr>
        <w:pStyle w:val="Heading1"/>
        <w:numPr>
          <w:ilvl w:val="0"/>
          <w:numId w:val="0"/>
        </w:numPr>
        <w:ind w:left="720"/>
        <w:jc w:val="left"/>
        <w:rPr>
          <w:rFonts w:cs="Arial"/>
          <w:sz w:val="24"/>
          <w:szCs w:val="24"/>
        </w:rPr>
      </w:pPr>
    </w:p>
    <w:p w14:paraId="1B78FCA7" w14:textId="52D61605" w:rsidR="003B113A" w:rsidRPr="004635CB" w:rsidRDefault="003B113A" w:rsidP="001A29D1">
      <w:pPr>
        <w:pStyle w:val="Heading4"/>
        <w:ind w:left="567" w:hanging="567"/>
      </w:pPr>
      <w:bookmarkStart w:id="18" w:name="_Toc139446075"/>
      <w:bookmarkStart w:id="19" w:name="Q10"/>
      <w:r w:rsidRPr="004635CB">
        <w:t>What is the cashflow basis?</w:t>
      </w:r>
      <w:bookmarkEnd w:id="18"/>
    </w:p>
    <w:bookmarkEnd w:id="19"/>
    <w:p w14:paraId="78DD1194" w14:textId="2266614E" w:rsidR="003B113A" w:rsidRPr="00DE63D3" w:rsidRDefault="003B113A" w:rsidP="003E5F8A">
      <w:pPr>
        <w:ind w:left="0" w:firstLine="0"/>
        <w:rPr>
          <w:rFonts w:cs="Arial"/>
          <w:szCs w:val="24"/>
          <w:lang w:val="en-GB"/>
        </w:rPr>
      </w:pPr>
      <w:r w:rsidRPr="00DE63D3">
        <w:rPr>
          <w:rFonts w:cs="Arial"/>
          <w:szCs w:val="24"/>
          <w:lang w:val="en-GB"/>
        </w:rPr>
        <w:t>This is the basis of reducing payments under a sovereign annuity</w:t>
      </w:r>
      <w:r w:rsidR="00B02819">
        <w:rPr>
          <w:rFonts w:cs="Arial"/>
          <w:szCs w:val="24"/>
          <w:lang w:val="en-GB"/>
        </w:rPr>
        <w:t xml:space="preserve"> </w:t>
      </w:r>
      <w:r w:rsidRPr="00DE63D3">
        <w:rPr>
          <w:rFonts w:cs="Arial"/>
          <w:szCs w:val="24"/>
          <w:lang w:val="en-GB"/>
        </w:rPr>
        <w:t>where a payment due under a reference bond has not been received in full by its due date and the reduction will only reflect the payment not so received (and</w:t>
      </w:r>
      <w:proofErr w:type="gramStart"/>
      <w:r w:rsidRPr="00DE63D3">
        <w:rPr>
          <w:rFonts w:cs="Arial"/>
          <w:szCs w:val="24"/>
          <w:lang w:val="en-GB"/>
        </w:rPr>
        <w:t>, in particular, not</w:t>
      </w:r>
      <w:proofErr w:type="gramEnd"/>
      <w:r w:rsidRPr="00DE63D3">
        <w:rPr>
          <w:rFonts w:cs="Arial"/>
          <w:szCs w:val="24"/>
          <w:lang w:val="en-GB"/>
        </w:rPr>
        <w:t xml:space="preserve"> any anticipated failure to receive future payments).</w:t>
      </w:r>
    </w:p>
    <w:p w14:paraId="20B7FA71" w14:textId="77777777" w:rsidR="001E5880" w:rsidRDefault="001E5880" w:rsidP="003E5F8A">
      <w:pPr>
        <w:ind w:left="0" w:firstLine="0"/>
        <w:rPr>
          <w:rFonts w:cs="Arial"/>
          <w:szCs w:val="24"/>
          <w:lang w:val="en-GB"/>
        </w:rPr>
      </w:pPr>
    </w:p>
    <w:p w14:paraId="7617D842" w14:textId="6C1F4E92" w:rsidR="003B113A" w:rsidRPr="00DE63D3" w:rsidRDefault="003B113A" w:rsidP="003E5F8A">
      <w:pPr>
        <w:ind w:left="0" w:firstLine="0"/>
        <w:rPr>
          <w:rFonts w:cs="Arial"/>
          <w:szCs w:val="24"/>
          <w:lang w:val="en-GB"/>
        </w:rPr>
      </w:pPr>
      <w:r w:rsidRPr="00DE63D3">
        <w:rPr>
          <w:rFonts w:cs="Arial"/>
          <w:szCs w:val="24"/>
          <w:lang w:val="en-GB"/>
        </w:rPr>
        <w:t xml:space="preserve">The policy will set out the bond or bonds to which the policy is referenced. Each payment due under </w:t>
      </w:r>
      <w:r w:rsidR="005256B3" w:rsidRPr="00DE63D3">
        <w:rPr>
          <w:rFonts w:cs="Arial"/>
          <w:szCs w:val="24"/>
          <w:lang w:val="en-GB"/>
        </w:rPr>
        <w:t xml:space="preserve">the bond(s) </w:t>
      </w:r>
      <w:r w:rsidRPr="00DE63D3">
        <w:rPr>
          <w:rFonts w:cs="Arial"/>
          <w:szCs w:val="24"/>
          <w:lang w:val="en-GB"/>
        </w:rPr>
        <w:t>is known as an expected payment. If an expected payment is not received in full by its due date (allowing for any grace period), there is an event of non-performance (see question</w:t>
      </w:r>
      <w:r w:rsidR="005256B3" w:rsidRPr="00DE63D3">
        <w:rPr>
          <w:rFonts w:cs="Arial"/>
          <w:szCs w:val="24"/>
          <w:lang w:val="en-GB"/>
        </w:rPr>
        <w:t>s</w:t>
      </w:r>
      <w:r w:rsidRPr="00DE63D3">
        <w:rPr>
          <w:rFonts w:cs="Arial"/>
          <w:szCs w:val="24"/>
          <w:lang w:val="en-GB"/>
        </w:rPr>
        <w:t xml:space="preserve"> 14 </w:t>
      </w:r>
      <w:r w:rsidR="005256B3" w:rsidRPr="00DE63D3">
        <w:rPr>
          <w:rFonts w:cs="Arial"/>
          <w:szCs w:val="24"/>
          <w:lang w:val="en-GB"/>
        </w:rPr>
        <w:t>and 15</w:t>
      </w:r>
      <w:r w:rsidRPr="00DE63D3">
        <w:rPr>
          <w:rFonts w:cs="Arial"/>
          <w:szCs w:val="24"/>
          <w:lang w:val="en-GB"/>
        </w:rPr>
        <w:t xml:space="preserve">) and payments under the policy can be reduced to reflect that event of non-performance.  </w:t>
      </w:r>
    </w:p>
    <w:p w14:paraId="0BD04554" w14:textId="77777777" w:rsidR="003B113A" w:rsidRPr="00DE63D3" w:rsidRDefault="003B113A" w:rsidP="003E5F8A">
      <w:pPr>
        <w:rPr>
          <w:rFonts w:cs="Arial"/>
          <w:szCs w:val="24"/>
          <w:lang w:val="en-GB"/>
        </w:rPr>
      </w:pPr>
    </w:p>
    <w:p w14:paraId="500069FA" w14:textId="08161B26" w:rsidR="003B113A" w:rsidRPr="00DE63D3" w:rsidRDefault="003B113A" w:rsidP="003E5F8A">
      <w:pPr>
        <w:ind w:left="0" w:firstLine="0"/>
        <w:rPr>
          <w:rFonts w:cs="Arial"/>
          <w:szCs w:val="24"/>
          <w:lang w:val="en-GB"/>
        </w:rPr>
      </w:pPr>
      <w:r w:rsidRPr="00DE63D3">
        <w:rPr>
          <w:rFonts w:cs="Arial"/>
          <w:szCs w:val="24"/>
          <w:lang w:val="en-GB"/>
        </w:rPr>
        <w:t xml:space="preserve">Any payment received that is not an expected payment (and it does not matter if that payment is received during the life of the </w:t>
      </w:r>
      <w:r w:rsidR="005256B3" w:rsidRPr="00DE63D3">
        <w:rPr>
          <w:rFonts w:cs="Arial"/>
          <w:szCs w:val="24"/>
          <w:lang w:val="en-GB"/>
        </w:rPr>
        <w:t xml:space="preserve">bond(s) set out in the policy </w:t>
      </w:r>
      <w:r w:rsidRPr="00DE63D3">
        <w:rPr>
          <w:rFonts w:cs="Arial"/>
          <w:szCs w:val="24"/>
          <w:lang w:val="en-GB"/>
        </w:rPr>
        <w:t xml:space="preserve">or after </w:t>
      </w:r>
      <w:r w:rsidR="005256B3" w:rsidRPr="00DE63D3">
        <w:rPr>
          <w:rFonts w:cs="Arial"/>
          <w:szCs w:val="24"/>
          <w:lang w:val="en-GB"/>
        </w:rPr>
        <w:t xml:space="preserve">their </w:t>
      </w:r>
      <w:r w:rsidRPr="00DE63D3">
        <w:rPr>
          <w:rFonts w:cs="Arial"/>
          <w:szCs w:val="24"/>
          <w:lang w:val="en-GB"/>
        </w:rPr>
        <w:t>maturity date e.g.</w:t>
      </w:r>
      <w:r w:rsidR="00F57D2A">
        <w:rPr>
          <w:rFonts w:cs="Arial"/>
          <w:szCs w:val="24"/>
          <w:lang w:val="en-GB"/>
        </w:rPr>
        <w:t>,</w:t>
      </w:r>
      <w:r w:rsidRPr="00DE63D3">
        <w:rPr>
          <w:rFonts w:cs="Arial"/>
          <w:szCs w:val="24"/>
          <w:lang w:val="en-GB"/>
        </w:rPr>
        <w:t xml:space="preserve"> through a replacement security) is an event of recovery (see question 2</w:t>
      </w:r>
      <w:r w:rsidR="005256B3" w:rsidRPr="00DE63D3">
        <w:rPr>
          <w:rFonts w:cs="Arial"/>
          <w:szCs w:val="24"/>
          <w:lang w:val="en-GB"/>
        </w:rPr>
        <w:t>0</w:t>
      </w:r>
      <w:r w:rsidRPr="00DE63D3">
        <w:rPr>
          <w:rFonts w:cs="Arial"/>
          <w:szCs w:val="24"/>
          <w:lang w:val="en-GB"/>
        </w:rPr>
        <w:t>) and there must be a restoration of payments under the policy to reflect that payment.</w:t>
      </w:r>
    </w:p>
    <w:p w14:paraId="3AEE7A15" w14:textId="77777777" w:rsidR="00B0385F" w:rsidRPr="00DE63D3" w:rsidRDefault="00B0385F" w:rsidP="003E5F8A">
      <w:pPr>
        <w:pStyle w:val="Heading1"/>
        <w:numPr>
          <w:ilvl w:val="0"/>
          <w:numId w:val="0"/>
        </w:numPr>
        <w:ind w:left="720"/>
        <w:jc w:val="left"/>
        <w:rPr>
          <w:rFonts w:cs="Arial"/>
          <w:sz w:val="24"/>
          <w:szCs w:val="24"/>
        </w:rPr>
      </w:pPr>
    </w:p>
    <w:p w14:paraId="69CE3E6F" w14:textId="2B7C6CFA" w:rsidR="004F6E8D" w:rsidRPr="004635CB" w:rsidRDefault="004F6E8D" w:rsidP="001025A9">
      <w:pPr>
        <w:pStyle w:val="Heading4"/>
        <w:ind w:left="0" w:firstLine="0"/>
      </w:pPr>
      <w:bookmarkStart w:id="20" w:name="_Toc139446076"/>
      <w:bookmarkStart w:id="21" w:name="Q11"/>
      <w:r w:rsidRPr="004635CB">
        <w:t>Can payments under a sovereign annuity</w:t>
      </w:r>
      <w:r w:rsidR="00B02819" w:rsidRPr="004635CB">
        <w:t xml:space="preserve"> </w:t>
      </w:r>
      <w:r w:rsidRPr="004635CB">
        <w:t>be referenced to more than one bond?</w:t>
      </w:r>
      <w:bookmarkEnd w:id="20"/>
    </w:p>
    <w:bookmarkEnd w:id="21"/>
    <w:p w14:paraId="71A30BDD" w14:textId="751543C5" w:rsidR="004F6E8D" w:rsidRPr="00DE63D3" w:rsidRDefault="00B0385F" w:rsidP="003E5F8A">
      <w:pPr>
        <w:ind w:left="0" w:firstLine="0"/>
        <w:rPr>
          <w:rFonts w:cs="Arial"/>
          <w:szCs w:val="24"/>
        </w:rPr>
      </w:pPr>
      <w:r w:rsidRPr="00DE63D3">
        <w:rPr>
          <w:rFonts w:cs="Arial"/>
          <w:szCs w:val="24"/>
        </w:rPr>
        <w:lastRenderedPageBreak/>
        <w:t>Yes, a sovereign annuity</w:t>
      </w:r>
      <w:r w:rsidR="00B02819">
        <w:rPr>
          <w:rFonts w:cs="Arial"/>
          <w:szCs w:val="24"/>
        </w:rPr>
        <w:t xml:space="preserve"> </w:t>
      </w:r>
      <w:r w:rsidRPr="00DE63D3">
        <w:rPr>
          <w:rFonts w:cs="Arial"/>
          <w:szCs w:val="24"/>
        </w:rPr>
        <w:t xml:space="preserve">can be referenced to either a single bond or more than one bond so long as each such bond is issued by Ireland </w:t>
      </w:r>
      <w:r w:rsidR="00C9036E">
        <w:rPr>
          <w:rFonts w:cs="Arial"/>
          <w:szCs w:val="24"/>
        </w:rPr>
        <w:t>and/</w:t>
      </w:r>
      <w:r w:rsidRPr="00DE63D3">
        <w:rPr>
          <w:rFonts w:cs="Arial"/>
          <w:szCs w:val="24"/>
        </w:rPr>
        <w:t xml:space="preserve">or another Member State of the </w:t>
      </w:r>
      <w:r w:rsidRPr="00EB1B6E">
        <w:rPr>
          <w:rFonts w:cs="Arial"/>
          <w:szCs w:val="24"/>
        </w:rPr>
        <w:t>E</w:t>
      </w:r>
      <w:r w:rsidR="00F57D2A">
        <w:rPr>
          <w:rFonts w:cs="Arial"/>
          <w:szCs w:val="24"/>
        </w:rPr>
        <w:t>U</w:t>
      </w:r>
      <w:r w:rsidRPr="00DE63D3">
        <w:rPr>
          <w:rFonts w:cs="Arial"/>
          <w:szCs w:val="24"/>
        </w:rPr>
        <w:t xml:space="preserve">. Details of the specific bond(s) must be set out in the policy.  </w:t>
      </w:r>
    </w:p>
    <w:p w14:paraId="170AFF72" w14:textId="77777777" w:rsidR="00B0385F" w:rsidRPr="00DE63D3" w:rsidRDefault="00B0385F" w:rsidP="003E5F8A">
      <w:pPr>
        <w:ind w:left="720"/>
        <w:rPr>
          <w:rFonts w:cs="Arial"/>
          <w:szCs w:val="24"/>
        </w:rPr>
      </w:pPr>
    </w:p>
    <w:p w14:paraId="1BF66A18" w14:textId="77777777" w:rsidR="004F6E8D" w:rsidRPr="004635CB" w:rsidRDefault="004F6E8D" w:rsidP="001A29D1">
      <w:pPr>
        <w:pStyle w:val="Heading4"/>
        <w:ind w:left="567" w:hanging="567"/>
      </w:pPr>
      <w:bookmarkStart w:id="22" w:name="_Toc139446077"/>
      <w:bookmarkStart w:id="23" w:name="Q12"/>
      <w:r w:rsidRPr="004635CB">
        <w:t>What happens after maturity of the only or last reference bond?</w:t>
      </w:r>
      <w:bookmarkEnd w:id="22"/>
    </w:p>
    <w:bookmarkEnd w:id="23"/>
    <w:p w14:paraId="5478A983" w14:textId="665D6F8D" w:rsidR="00B0385F" w:rsidRPr="00DE63D3" w:rsidRDefault="00B0385F" w:rsidP="003E5F8A">
      <w:pPr>
        <w:ind w:left="0" w:firstLine="0"/>
        <w:rPr>
          <w:rFonts w:cs="Arial"/>
          <w:szCs w:val="24"/>
        </w:rPr>
      </w:pPr>
      <w:r w:rsidRPr="00DE63D3">
        <w:rPr>
          <w:rFonts w:cs="Arial"/>
          <w:szCs w:val="24"/>
        </w:rPr>
        <w:t>Once the only or, if there is more than one, the last referen</w:t>
      </w:r>
      <w:r w:rsidR="007B48EE">
        <w:rPr>
          <w:rFonts w:cs="Arial"/>
          <w:szCs w:val="24"/>
        </w:rPr>
        <w:t>c</w:t>
      </w:r>
      <w:r w:rsidRPr="00DE63D3">
        <w:rPr>
          <w:rFonts w:cs="Arial"/>
          <w:szCs w:val="24"/>
        </w:rPr>
        <w:t xml:space="preserve">e bond set out in the policy has matured, payments under the policy cannot thereafter be reduced </w:t>
      </w:r>
      <w:r w:rsidR="003B113A" w:rsidRPr="00DE63D3">
        <w:rPr>
          <w:rFonts w:cs="Arial"/>
          <w:szCs w:val="24"/>
        </w:rPr>
        <w:t>except in limited circumstances</w:t>
      </w:r>
      <w:r w:rsidR="005212D2">
        <w:rPr>
          <w:rFonts w:cs="Arial"/>
          <w:szCs w:val="24"/>
        </w:rPr>
        <w:t xml:space="preserve">. </w:t>
      </w:r>
      <w:r w:rsidR="005212D2" w:rsidRPr="00DE63D3">
        <w:rPr>
          <w:rFonts w:cs="Arial"/>
          <w:szCs w:val="24"/>
        </w:rPr>
        <w:t>Those limited circumstances are</w:t>
      </w:r>
      <w:r w:rsidRPr="00DE63D3">
        <w:rPr>
          <w:rFonts w:cs="Arial"/>
          <w:szCs w:val="24"/>
        </w:rPr>
        <w:t xml:space="preserve"> where so provided in the policy and only for a maximum period of 15 months after the maturity date</w:t>
      </w:r>
      <w:r w:rsidR="005212D2">
        <w:rPr>
          <w:rFonts w:cs="Arial"/>
          <w:szCs w:val="24"/>
        </w:rPr>
        <w:t xml:space="preserve">, </w:t>
      </w:r>
      <w:r w:rsidRPr="00DE63D3">
        <w:rPr>
          <w:rFonts w:cs="Arial"/>
          <w:szCs w:val="24"/>
        </w:rPr>
        <w:t>to the extent necessary to reflect</w:t>
      </w:r>
      <w:r w:rsidR="00F1716F">
        <w:rPr>
          <w:rFonts w:cs="Arial"/>
          <w:szCs w:val="24"/>
        </w:rPr>
        <w:t>:</w:t>
      </w:r>
    </w:p>
    <w:p w14:paraId="340BF230" w14:textId="77777777" w:rsidR="00B0385F" w:rsidRPr="00DE63D3" w:rsidRDefault="00B0385F" w:rsidP="003E5F8A">
      <w:pPr>
        <w:rPr>
          <w:rFonts w:cs="Arial"/>
          <w:szCs w:val="24"/>
        </w:rPr>
      </w:pPr>
    </w:p>
    <w:p w14:paraId="4956EEFB" w14:textId="4BD5DF04" w:rsidR="00B0385F" w:rsidRPr="006A1422" w:rsidRDefault="00B0385F" w:rsidP="001073F5">
      <w:pPr>
        <w:pStyle w:val="ListParagraph"/>
        <w:numPr>
          <w:ilvl w:val="0"/>
          <w:numId w:val="18"/>
        </w:numPr>
      </w:pPr>
      <w:r w:rsidRPr="006A1422">
        <w:t>payments made under the policy in anticipation of an expected payment which is not subsequentl</w:t>
      </w:r>
      <w:r w:rsidR="00EB1B6E" w:rsidRPr="006A1422">
        <w:t>y received or received in full</w:t>
      </w:r>
      <w:r w:rsidR="00DB200B">
        <w:t>.</w:t>
      </w:r>
      <w:r w:rsidR="00EB1B6E" w:rsidRPr="006A1422">
        <w:t xml:space="preserve"> </w:t>
      </w:r>
      <w:r w:rsidRPr="006A1422">
        <w:t xml:space="preserve">or </w:t>
      </w:r>
    </w:p>
    <w:p w14:paraId="271B0154" w14:textId="77777777" w:rsidR="00B0385F" w:rsidRPr="00DE63D3" w:rsidRDefault="00B0385F" w:rsidP="001073F5"/>
    <w:p w14:paraId="520ECDCE" w14:textId="66D97F6E" w:rsidR="00B0385F" w:rsidRPr="006A1422" w:rsidRDefault="00B0385F" w:rsidP="001073F5">
      <w:pPr>
        <w:pStyle w:val="ListParagraph"/>
        <w:numPr>
          <w:ilvl w:val="0"/>
          <w:numId w:val="18"/>
        </w:numPr>
      </w:pPr>
      <w:r w:rsidRPr="006A1422">
        <w:t>to allow for the period after an event of non-performance</w:t>
      </w:r>
      <w:r w:rsidR="00B02819" w:rsidRPr="006A1422">
        <w:t xml:space="preserve"> </w:t>
      </w:r>
      <w:r w:rsidRPr="006A1422">
        <w:t>during which no reduction is permitted (see question 1</w:t>
      </w:r>
      <w:r w:rsidR="005256B3" w:rsidRPr="006A1422">
        <w:t>8</w:t>
      </w:r>
      <w:r w:rsidRPr="006A1422">
        <w:t xml:space="preserve">).  </w:t>
      </w:r>
    </w:p>
    <w:p w14:paraId="1CFA2CF5" w14:textId="77777777" w:rsidR="00B0385F" w:rsidRPr="00DE63D3" w:rsidRDefault="00B0385F" w:rsidP="003E5F8A">
      <w:pPr>
        <w:rPr>
          <w:rFonts w:cs="Arial"/>
          <w:szCs w:val="24"/>
        </w:rPr>
      </w:pPr>
    </w:p>
    <w:p w14:paraId="449B73AB" w14:textId="40FA9D24" w:rsidR="004F6E8D" w:rsidRPr="00DE63D3" w:rsidRDefault="00B0385F" w:rsidP="003E5F8A">
      <w:pPr>
        <w:rPr>
          <w:rFonts w:cs="Arial"/>
          <w:szCs w:val="24"/>
        </w:rPr>
      </w:pPr>
      <w:r w:rsidRPr="00DE63D3">
        <w:rPr>
          <w:rFonts w:cs="Arial"/>
          <w:szCs w:val="24"/>
        </w:rPr>
        <w:t xml:space="preserve">It </w:t>
      </w:r>
      <w:r w:rsidR="003B113A" w:rsidRPr="00DE63D3">
        <w:rPr>
          <w:rFonts w:cs="Arial"/>
          <w:szCs w:val="24"/>
        </w:rPr>
        <w:t xml:space="preserve">should </w:t>
      </w:r>
      <w:r w:rsidRPr="00DE63D3">
        <w:rPr>
          <w:rFonts w:cs="Arial"/>
          <w:szCs w:val="24"/>
        </w:rPr>
        <w:t xml:space="preserve">be clear </w:t>
      </w:r>
      <w:r w:rsidR="003B113A" w:rsidRPr="00DE63D3">
        <w:rPr>
          <w:rFonts w:cs="Arial"/>
          <w:szCs w:val="24"/>
        </w:rPr>
        <w:t>in the policy whether this extension of up to 15 months applies.</w:t>
      </w:r>
    </w:p>
    <w:p w14:paraId="5B9E1362" w14:textId="77777777" w:rsidR="00135515" w:rsidRPr="00DE63D3" w:rsidRDefault="00135515" w:rsidP="003E5F8A">
      <w:pPr>
        <w:ind w:left="720"/>
        <w:rPr>
          <w:rFonts w:cs="Arial"/>
          <w:szCs w:val="24"/>
        </w:rPr>
      </w:pPr>
    </w:p>
    <w:p w14:paraId="1BAE9F35" w14:textId="6706EB98" w:rsidR="004F6E8D" w:rsidRPr="00DE63D3" w:rsidRDefault="004F6E8D" w:rsidP="001025A9">
      <w:pPr>
        <w:pStyle w:val="Heading4"/>
        <w:ind w:left="0" w:firstLine="0"/>
      </w:pPr>
      <w:bookmarkStart w:id="24" w:name="_Toc139446078"/>
      <w:bookmarkStart w:id="25" w:name="Q13"/>
      <w:r w:rsidRPr="00EB1B6E">
        <w:t>Can new reference bonds be substituted for existing reference bonds during the term of the policy</w:t>
      </w:r>
      <w:r w:rsidRPr="00DE63D3">
        <w:t>?</w:t>
      </w:r>
      <w:bookmarkEnd w:id="24"/>
      <w:r w:rsidRPr="00DE63D3">
        <w:t xml:space="preserve"> </w:t>
      </w:r>
    </w:p>
    <w:bookmarkEnd w:id="25"/>
    <w:p w14:paraId="4CE2870F" w14:textId="35FCB1F2" w:rsidR="00B0385F" w:rsidRDefault="00B0385F" w:rsidP="003E5F8A">
      <w:pPr>
        <w:ind w:left="0" w:firstLine="0"/>
        <w:rPr>
          <w:rFonts w:cs="Arial"/>
          <w:szCs w:val="24"/>
          <w:lang w:val="en-GB"/>
        </w:rPr>
      </w:pPr>
      <w:r w:rsidRPr="00DE63D3">
        <w:rPr>
          <w:rFonts w:cs="Arial"/>
          <w:szCs w:val="24"/>
          <w:lang w:val="en-GB"/>
        </w:rPr>
        <w:t xml:space="preserve">No. A reference bond set out in the policy cannot be changed. It is the anchor both in terms of whether expected payments are received and in determining the period during which reductions can occur due to an event of non-performance. That will be the case even if </w:t>
      </w:r>
      <w:proofErr w:type="gramStart"/>
      <w:r w:rsidRPr="00DE63D3">
        <w:rPr>
          <w:rFonts w:cs="Arial"/>
          <w:szCs w:val="24"/>
          <w:lang w:val="en-GB"/>
        </w:rPr>
        <w:t>in reality that</w:t>
      </w:r>
      <w:proofErr w:type="gramEnd"/>
      <w:r w:rsidRPr="00DE63D3">
        <w:rPr>
          <w:rFonts w:cs="Arial"/>
          <w:szCs w:val="24"/>
          <w:lang w:val="en-GB"/>
        </w:rPr>
        <w:t xml:space="preserve"> bond ceases to exist, for example as part of a restructuring following an event of non-performance.</w:t>
      </w:r>
    </w:p>
    <w:p w14:paraId="67B4E639" w14:textId="77777777" w:rsidR="00F1716F" w:rsidRPr="00F1716F" w:rsidRDefault="00F1716F" w:rsidP="003E5F8A">
      <w:pPr>
        <w:rPr>
          <w:rFonts w:cs="Arial"/>
          <w:b/>
          <w:szCs w:val="24"/>
        </w:rPr>
      </w:pPr>
    </w:p>
    <w:p w14:paraId="77DEFC32" w14:textId="2F263465" w:rsidR="004F6E8D" w:rsidRPr="001A29D1" w:rsidRDefault="006C584A" w:rsidP="001A29D1">
      <w:pPr>
        <w:pStyle w:val="Heading3"/>
      </w:pPr>
      <w:r w:rsidRPr="001A29D1">
        <w:t>E</w:t>
      </w:r>
      <w:r w:rsidR="00616A69" w:rsidRPr="001A29D1">
        <w:t>vent of non-performance</w:t>
      </w:r>
    </w:p>
    <w:p w14:paraId="407E1169" w14:textId="082E4E8A" w:rsidR="004F6E8D" w:rsidRPr="000F1DA3" w:rsidRDefault="004F6E8D" w:rsidP="001A29D1">
      <w:pPr>
        <w:pStyle w:val="Heading4"/>
        <w:ind w:left="567" w:hanging="567"/>
      </w:pPr>
      <w:bookmarkStart w:id="26" w:name="_Toc139446079"/>
      <w:bookmarkStart w:id="27" w:name="Q14"/>
      <w:r w:rsidRPr="000F1DA3">
        <w:t>What is an event of non-performance?</w:t>
      </w:r>
      <w:bookmarkEnd w:id="26"/>
    </w:p>
    <w:bookmarkEnd w:id="27"/>
    <w:p w14:paraId="1671D846" w14:textId="1DAC03BF" w:rsidR="00B0385F" w:rsidRPr="00DE63D3" w:rsidRDefault="00B0385F" w:rsidP="003E5F8A">
      <w:pPr>
        <w:ind w:left="0" w:firstLine="0"/>
        <w:rPr>
          <w:rFonts w:cs="Arial"/>
          <w:szCs w:val="24"/>
        </w:rPr>
      </w:pPr>
      <w:r w:rsidRPr="00DE63D3">
        <w:rPr>
          <w:rFonts w:cs="Arial"/>
          <w:szCs w:val="24"/>
        </w:rPr>
        <w:t>This is an event where the payments due under a reference bond (known as expected payments) are not paid, or are not paid in full, by their due date (after any grace period allowed for under the terms of that bond).</w:t>
      </w:r>
    </w:p>
    <w:p w14:paraId="2882BC63" w14:textId="77777777" w:rsidR="004F6E8D" w:rsidRPr="00DE63D3" w:rsidRDefault="004F6E8D" w:rsidP="003E5F8A">
      <w:pPr>
        <w:rPr>
          <w:rFonts w:cs="Arial"/>
          <w:szCs w:val="24"/>
        </w:rPr>
      </w:pPr>
    </w:p>
    <w:p w14:paraId="3A81FC54" w14:textId="1A25DC79" w:rsidR="004F6E8D" w:rsidRPr="000F1DA3" w:rsidRDefault="004F6E8D" w:rsidP="001A29D1">
      <w:pPr>
        <w:pStyle w:val="Heading4"/>
        <w:ind w:left="567" w:hanging="567"/>
      </w:pPr>
      <w:bookmarkStart w:id="28" w:name="_Toc139446080"/>
      <w:bookmarkStart w:id="29" w:name="Q15"/>
      <w:r w:rsidRPr="00FD3337">
        <w:t>What</w:t>
      </w:r>
      <w:r w:rsidRPr="000F1DA3">
        <w:t xml:space="preserve"> is not an event of non-performance?</w:t>
      </w:r>
      <w:bookmarkEnd w:id="28"/>
    </w:p>
    <w:bookmarkEnd w:id="29"/>
    <w:p w14:paraId="25693CDA" w14:textId="21F10940" w:rsidR="00B0385F" w:rsidRPr="00DE63D3" w:rsidRDefault="00B0385F" w:rsidP="003E5F8A">
      <w:pPr>
        <w:ind w:left="0" w:firstLine="0"/>
        <w:rPr>
          <w:rFonts w:cs="Arial"/>
          <w:szCs w:val="24"/>
        </w:rPr>
      </w:pPr>
      <w:r w:rsidRPr="00DE63D3">
        <w:rPr>
          <w:rFonts w:cs="Arial"/>
          <w:szCs w:val="24"/>
        </w:rPr>
        <w:t>Only the event outlined in the response to question 1</w:t>
      </w:r>
      <w:r w:rsidR="005256B3" w:rsidRPr="00DE63D3">
        <w:rPr>
          <w:rFonts w:cs="Arial"/>
          <w:szCs w:val="24"/>
        </w:rPr>
        <w:t>4</w:t>
      </w:r>
      <w:r w:rsidRPr="00DE63D3">
        <w:rPr>
          <w:rFonts w:cs="Arial"/>
          <w:szCs w:val="24"/>
        </w:rPr>
        <w:t xml:space="preserve"> is an event of non-performance.  An event such as</w:t>
      </w:r>
      <w:r w:rsidR="00F1716F">
        <w:rPr>
          <w:rFonts w:cs="Arial"/>
          <w:szCs w:val="24"/>
        </w:rPr>
        <w:t>:</w:t>
      </w:r>
    </w:p>
    <w:p w14:paraId="5150480B" w14:textId="77777777" w:rsidR="00B0385F" w:rsidRPr="00DE63D3" w:rsidRDefault="00B0385F" w:rsidP="003E5F8A">
      <w:pPr>
        <w:rPr>
          <w:rFonts w:cs="Arial"/>
          <w:szCs w:val="24"/>
        </w:rPr>
      </w:pPr>
    </w:p>
    <w:p w14:paraId="0FE8A777" w14:textId="3A436F06" w:rsidR="00B0385F" w:rsidRPr="006A1422" w:rsidRDefault="00B0385F" w:rsidP="001073F5">
      <w:pPr>
        <w:pStyle w:val="ListParagraph"/>
        <w:numPr>
          <w:ilvl w:val="0"/>
          <w:numId w:val="17"/>
        </w:numPr>
      </w:pPr>
      <w:r w:rsidRPr="006A1422">
        <w:t xml:space="preserve">the issuer of the bond declaring an intention not to </w:t>
      </w:r>
      <w:r w:rsidR="000F1DA3" w:rsidRPr="006A1422">
        <w:t>make payments due under a bond</w:t>
      </w:r>
      <w:r w:rsidR="00F1716F">
        <w:t>,</w:t>
      </w:r>
    </w:p>
    <w:p w14:paraId="6B6D2F0F" w14:textId="77777777" w:rsidR="00B0385F" w:rsidRPr="00DE63D3" w:rsidRDefault="00B0385F" w:rsidP="001073F5"/>
    <w:p w14:paraId="56B34071" w14:textId="4807186A" w:rsidR="00B0385F" w:rsidRPr="006A1422" w:rsidRDefault="000F1DA3" w:rsidP="001073F5">
      <w:pPr>
        <w:pStyle w:val="ListParagraph"/>
        <w:numPr>
          <w:ilvl w:val="0"/>
          <w:numId w:val="17"/>
        </w:numPr>
      </w:pPr>
      <w:r w:rsidRPr="006A1422">
        <w:t>maturity of the bond</w:t>
      </w:r>
      <w:r w:rsidR="00F1716F">
        <w:t>,</w:t>
      </w:r>
      <w:r w:rsidR="00B0385F" w:rsidRPr="006A1422">
        <w:t xml:space="preserve"> </w:t>
      </w:r>
    </w:p>
    <w:p w14:paraId="35BC21C4" w14:textId="77777777" w:rsidR="00B0385F" w:rsidRPr="00DE63D3" w:rsidRDefault="00B0385F" w:rsidP="001073F5"/>
    <w:p w14:paraId="0D683991" w14:textId="53406F2D" w:rsidR="003E4776" w:rsidRPr="006A1422" w:rsidRDefault="00B0385F" w:rsidP="001073F5">
      <w:pPr>
        <w:pStyle w:val="ListParagraph"/>
        <w:numPr>
          <w:ilvl w:val="0"/>
          <w:numId w:val="17"/>
        </w:numPr>
      </w:pPr>
      <w:r w:rsidRPr="006A1422">
        <w:lastRenderedPageBreak/>
        <w:t>early redemption of the bo</w:t>
      </w:r>
      <w:r w:rsidR="000F1DA3" w:rsidRPr="006A1422">
        <w:t>nd in accordance with its terms</w:t>
      </w:r>
      <w:r w:rsidR="00F1716F">
        <w:t>,</w:t>
      </w:r>
      <w:r w:rsidR="00270362" w:rsidRPr="006A1422">
        <w:t xml:space="preserve"> </w:t>
      </w:r>
      <w:r w:rsidRPr="006A1422">
        <w:t xml:space="preserve">or </w:t>
      </w:r>
    </w:p>
    <w:p w14:paraId="72752F96" w14:textId="77777777" w:rsidR="00B0385F" w:rsidRPr="00DE63D3" w:rsidRDefault="00B0385F" w:rsidP="001073F5"/>
    <w:p w14:paraId="14AF8B60" w14:textId="071AF298" w:rsidR="00B0385F" w:rsidRPr="006A1422" w:rsidRDefault="00B0385F" w:rsidP="001073F5">
      <w:pPr>
        <w:pStyle w:val="ListParagraph"/>
        <w:numPr>
          <w:ilvl w:val="0"/>
          <w:numId w:val="17"/>
        </w:numPr>
      </w:pPr>
      <w:r w:rsidRPr="006A1422">
        <w:t>any anticipated failure by the issuer of the bond to make payments due under a bond</w:t>
      </w:r>
      <w:r w:rsidR="00F1716F">
        <w:t>,</w:t>
      </w:r>
    </w:p>
    <w:p w14:paraId="2D829B59" w14:textId="77777777" w:rsidR="00B0385F" w:rsidRPr="00DE63D3" w:rsidRDefault="00B0385F" w:rsidP="003E5F8A">
      <w:pPr>
        <w:rPr>
          <w:rFonts w:cs="Arial"/>
          <w:szCs w:val="24"/>
        </w:rPr>
      </w:pPr>
    </w:p>
    <w:p w14:paraId="068E6506" w14:textId="2DF2EDD9" w:rsidR="004F6E8D" w:rsidRPr="00DE63D3" w:rsidRDefault="00B0385F" w:rsidP="003E5F8A">
      <w:pPr>
        <w:rPr>
          <w:rFonts w:cs="Arial"/>
          <w:szCs w:val="24"/>
        </w:rPr>
      </w:pPr>
      <w:r w:rsidRPr="00DE63D3">
        <w:rPr>
          <w:rFonts w:cs="Arial"/>
          <w:szCs w:val="24"/>
        </w:rPr>
        <w:t>do</w:t>
      </w:r>
      <w:r w:rsidR="00226A1B" w:rsidRPr="00DE63D3">
        <w:rPr>
          <w:rFonts w:cs="Arial"/>
          <w:szCs w:val="24"/>
        </w:rPr>
        <w:t>es</w:t>
      </w:r>
      <w:r w:rsidRPr="00DE63D3">
        <w:rPr>
          <w:rFonts w:cs="Arial"/>
          <w:szCs w:val="24"/>
        </w:rPr>
        <w:t xml:space="preserve"> not amount to an event of non-performance.</w:t>
      </w:r>
    </w:p>
    <w:p w14:paraId="1FC659CB" w14:textId="77777777" w:rsidR="003E4776" w:rsidRPr="00DE63D3" w:rsidRDefault="003E4776" w:rsidP="003E5F8A">
      <w:pPr>
        <w:rPr>
          <w:rFonts w:cs="Arial"/>
          <w:szCs w:val="24"/>
        </w:rPr>
      </w:pPr>
    </w:p>
    <w:p w14:paraId="176F8695" w14:textId="668CD21E" w:rsidR="004F6E8D" w:rsidRPr="000F1DA3" w:rsidRDefault="00993F95" w:rsidP="001025A9">
      <w:pPr>
        <w:pStyle w:val="Heading4"/>
        <w:ind w:left="0" w:firstLine="0"/>
      </w:pPr>
      <w:bookmarkStart w:id="30" w:name="_Toc139446081"/>
      <w:bookmarkStart w:id="31" w:name="Q16"/>
      <w:r w:rsidRPr="000F1DA3">
        <w:t>How is</w:t>
      </w:r>
      <w:r w:rsidR="004F6E8D" w:rsidRPr="000F1DA3">
        <w:t xml:space="preserve"> the reduction </w:t>
      </w:r>
      <w:r w:rsidRPr="000F1DA3">
        <w:t xml:space="preserve">in payments calculated </w:t>
      </w:r>
      <w:r w:rsidR="004F6E8D" w:rsidRPr="000F1DA3">
        <w:t>following an event of non-</w:t>
      </w:r>
      <w:r w:rsidR="004F6E8D" w:rsidRPr="00FD3337">
        <w:t>performance</w:t>
      </w:r>
      <w:r w:rsidR="004F6E8D" w:rsidRPr="000F1DA3">
        <w:t>?</w:t>
      </w:r>
      <w:bookmarkEnd w:id="30"/>
    </w:p>
    <w:bookmarkEnd w:id="31"/>
    <w:p w14:paraId="620F39D7" w14:textId="0CB3AE0A" w:rsidR="00B0385F" w:rsidRPr="00DE63D3" w:rsidRDefault="00B0385F" w:rsidP="003E5F8A">
      <w:pPr>
        <w:ind w:left="0" w:firstLine="0"/>
        <w:rPr>
          <w:rFonts w:cs="Arial"/>
          <w:szCs w:val="24"/>
        </w:rPr>
      </w:pPr>
      <w:r w:rsidRPr="00DE63D3">
        <w:rPr>
          <w:rFonts w:cs="Arial"/>
          <w:szCs w:val="24"/>
        </w:rPr>
        <w:t xml:space="preserve">The reduction in payments under the policy for any </w:t>
      </w:r>
      <w:proofErr w:type="gramStart"/>
      <w:r w:rsidRPr="00DE63D3">
        <w:rPr>
          <w:rFonts w:cs="Arial"/>
          <w:szCs w:val="24"/>
        </w:rPr>
        <w:t>time period</w:t>
      </w:r>
      <w:proofErr w:type="gramEnd"/>
      <w:r w:rsidRPr="00DE63D3">
        <w:rPr>
          <w:rFonts w:cs="Arial"/>
          <w:szCs w:val="24"/>
        </w:rPr>
        <w:t xml:space="preserve"> can only be such amount as is necessary to reflect the payment not received (subject always to a maximum of the percentage of payments set out in the policy</w:t>
      </w:r>
      <w:r w:rsidR="00ED20D8">
        <w:rPr>
          <w:rFonts w:cs="Arial"/>
          <w:szCs w:val="24"/>
        </w:rPr>
        <w:t xml:space="preserve"> </w:t>
      </w:r>
      <w:r w:rsidR="00ED20D8" w:rsidRPr="00CB5B51">
        <w:rPr>
          <w:rFonts w:cs="Arial"/>
          <w:szCs w:val="24"/>
        </w:rPr>
        <w:t>and capable of reduction for that time period in relation to that reference bond</w:t>
      </w:r>
      <w:r w:rsidRPr="00DE63D3">
        <w:rPr>
          <w:rFonts w:cs="Arial"/>
          <w:szCs w:val="24"/>
        </w:rPr>
        <w:t>).</w:t>
      </w:r>
    </w:p>
    <w:p w14:paraId="2A2B854E" w14:textId="77777777" w:rsidR="00EB1B6E" w:rsidRPr="00DE63D3" w:rsidRDefault="00EB1B6E" w:rsidP="003E5F8A">
      <w:pPr>
        <w:rPr>
          <w:rFonts w:cs="Arial"/>
          <w:szCs w:val="24"/>
        </w:rPr>
      </w:pPr>
    </w:p>
    <w:p w14:paraId="6DA33DA2" w14:textId="07E97661" w:rsidR="004F6E8D" w:rsidRPr="00DE63D3" w:rsidRDefault="004F6E8D" w:rsidP="001025A9">
      <w:pPr>
        <w:pStyle w:val="Heading4"/>
        <w:ind w:left="0" w:firstLine="0"/>
      </w:pPr>
      <w:bookmarkStart w:id="32" w:name="_Toc139446082"/>
      <w:bookmarkStart w:id="33" w:name="Q17"/>
      <w:r w:rsidRPr="000F1DA3">
        <w:t xml:space="preserve">What </w:t>
      </w:r>
      <w:r w:rsidRPr="00FD3337">
        <w:t>other</w:t>
      </w:r>
      <w:r w:rsidRPr="000F1DA3">
        <w:t xml:space="preserve"> requirements are there when an insurer is determining the reduction to be applied following an event of non-performance</w:t>
      </w:r>
      <w:r w:rsidRPr="00DE63D3">
        <w:t>?</w:t>
      </w:r>
      <w:bookmarkEnd w:id="32"/>
    </w:p>
    <w:bookmarkEnd w:id="33"/>
    <w:p w14:paraId="1C9C97BB" w14:textId="7986C7B8" w:rsidR="00B0385F" w:rsidRPr="00DE63D3" w:rsidRDefault="00B0385F" w:rsidP="003E5F8A">
      <w:pPr>
        <w:rPr>
          <w:rFonts w:cs="Arial"/>
          <w:szCs w:val="24"/>
        </w:rPr>
      </w:pPr>
      <w:r w:rsidRPr="00DE63D3">
        <w:rPr>
          <w:rFonts w:cs="Arial"/>
          <w:szCs w:val="24"/>
        </w:rPr>
        <w:t>The insurer must</w:t>
      </w:r>
      <w:r w:rsidR="00787B32">
        <w:rPr>
          <w:rFonts w:cs="Arial"/>
          <w:szCs w:val="24"/>
        </w:rPr>
        <w:t>:</w:t>
      </w:r>
    </w:p>
    <w:p w14:paraId="3E75AB1D" w14:textId="77777777" w:rsidR="00B0385F" w:rsidRPr="00DE63D3" w:rsidRDefault="00B0385F" w:rsidP="003E5F8A">
      <w:pPr>
        <w:rPr>
          <w:rFonts w:cs="Arial"/>
          <w:szCs w:val="24"/>
        </w:rPr>
      </w:pPr>
    </w:p>
    <w:p w14:paraId="43324AA1" w14:textId="69F5F4ED" w:rsidR="00B0385F" w:rsidRDefault="00B0385F" w:rsidP="001073F5">
      <w:pPr>
        <w:pStyle w:val="ListParagraph"/>
        <w:numPr>
          <w:ilvl w:val="0"/>
          <w:numId w:val="16"/>
        </w:numPr>
      </w:pPr>
      <w:r w:rsidRPr="006A1422">
        <w:t>take and have</w:t>
      </w:r>
      <w:r w:rsidR="00EB1B6E" w:rsidRPr="006A1422">
        <w:t xml:space="preserve"> due regard to actuarial advice</w:t>
      </w:r>
      <w:r w:rsidR="00787B32">
        <w:t>,</w:t>
      </w:r>
    </w:p>
    <w:p w14:paraId="64B43496" w14:textId="77777777" w:rsidR="00787B32" w:rsidRPr="006A1422" w:rsidRDefault="00787B32" w:rsidP="001073F5"/>
    <w:p w14:paraId="10491718" w14:textId="1BC2114D" w:rsidR="00B0385F" w:rsidRPr="006A1422" w:rsidRDefault="00B0385F" w:rsidP="001073F5">
      <w:pPr>
        <w:pStyle w:val="ListParagraph"/>
        <w:numPr>
          <w:ilvl w:val="0"/>
          <w:numId w:val="16"/>
        </w:numPr>
      </w:pPr>
      <w:r w:rsidRPr="006A1422">
        <w:t xml:space="preserve">have due regard to the policyholder’s reasonable expectations (such expectations to be consistent with the nature of the </w:t>
      </w:r>
      <w:r w:rsidR="00EB1B6E" w:rsidRPr="006A1422">
        <w:t>policy)</w:t>
      </w:r>
      <w:r w:rsidR="00787B32">
        <w:t>,</w:t>
      </w:r>
    </w:p>
    <w:p w14:paraId="5F07A04D" w14:textId="77777777" w:rsidR="00B0385F" w:rsidRPr="00DE63D3" w:rsidRDefault="00B0385F" w:rsidP="001073F5"/>
    <w:p w14:paraId="429D86BC" w14:textId="7F1E6B58" w:rsidR="00B0385F" w:rsidRPr="006A1422" w:rsidRDefault="00B0385F" w:rsidP="001073F5">
      <w:pPr>
        <w:pStyle w:val="ListParagraph"/>
        <w:numPr>
          <w:ilvl w:val="0"/>
          <w:numId w:val="16"/>
        </w:numPr>
      </w:pPr>
      <w:r w:rsidRPr="006A1422">
        <w:t xml:space="preserve">take no account of any charges, expenses or indirect costs incurred by the insurer arising out </w:t>
      </w:r>
      <w:r w:rsidR="00EB1B6E" w:rsidRPr="006A1422">
        <w:t>of the event of non-performance</w:t>
      </w:r>
      <w:r w:rsidR="00787B32">
        <w:t>, and</w:t>
      </w:r>
    </w:p>
    <w:p w14:paraId="3046AF31" w14:textId="77777777" w:rsidR="00B0385F" w:rsidRPr="00DE63D3" w:rsidRDefault="00B0385F" w:rsidP="001073F5"/>
    <w:p w14:paraId="22BBBCED" w14:textId="5A8C5E13" w:rsidR="00B0385F" w:rsidRPr="006A1422" w:rsidRDefault="00B0385F" w:rsidP="001073F5">
      <w:pPr>
        <w:pStyle w:val="ListParagraph"/>
        <w:numPr>
          <w:ilvl w:val="0"/>
          <w:numId w:val="16"/>
        </w:numPr>
      </w:pPr>
      <w:r w:rsidRPr="006A1422">
        <w:t xml:space="preserve">comply with any guidance issued by </w:t>
      </w:r>
      <w:r w:rsidR="000815B8" w:rsidRPr="006A1422">
        <w:t>the Authority</w:t>
      </w:r>
      <w:r w:rsidRPr="006A1422">
        <w:t>.</w:t>
      </w:r>
    </w:p>
    <w:p w14:paraId="174B8693" w14:textId="77777777" w:rsidR="004F6E8D" w:rsidRPr="00DE63D3" w:rsidRDefault="004F6E8D" w:rsidP="003E5F8A">
      <w:pPr>
        <w:rPr>
          <w:rFonts w:cs="Arial"/>
          <w:szCs w:val="24"/>
        </w:rPr>
      </w:pPr>
    </w:p>
    <w:p w14:paraId="47766AE7" w14:textId="35FBF635" w:rsidR="004F6E8D" w:rsidRPr="00DE63D3" w:rsidRDefault="004F6E8D" w:rsidP="001025A9">
      <w:pPr>
        <w:pStyle w:val="Heading4"/>
        <w:ind w:left="0" w:firstLine="0"/>
      </w:pPr>
      <w:bookmarkStart w:id="34" w:name="_Toc139446083"/>
      <w:bookmarkStart w:id="35" w:name="Q18"/>
      <w:r w:rsidRPr="000F1DA3">
        <w:t xml:space="preserve">What are the time limits </w:t>
      </w:r>
      <w:r w:rsidR="00993F95" w:rsidRPr="000F1DA3">
        <w:t xml:space="preserve">and notification obligations on insurers </w:t>
      </w:r>
      <w:r w:rsidRPr="000F1DA3">
        <w:t>surrounding making a reduction following an event of non-performance</w:t>
      </w:r>
      <w:r w:rsidRPr="00DE63D3">
        <w:t>?</w:t>
      </w:r>
      <w:bookmarkEnd w:id="34"/>
    </w:p>
    <w:bookmarkEnd w:id="35"/>
    <w:p w14:paraId="23872D95" w14:textId="2D5B923F" w:rsidR="004F6E8D" w:rsidRPr="00DE63D3" w:rsidRDefault="004F6E8D" w:rsidP="003E5F8A">
      <w:pPr>
        <w:ind w:left="0" w:firstLine="0"/>
        <w:rPr>
          <w:rFonts w:cs="Arial"/>
          <w:szCs w:val="24"/>
        </w:rPr>
      </w:pPr>
      <w:r w:rsidRPr="00DE63D3">
        <w:rPr>
          <w:rFonts w:cs="Arial"/>
          <w:szCs w:val="24"/>
        </w:rPr>
        <w:t>On an insurer becoming aware of an event of non-performance which may lead to a reduction in payments under a sovereign annuity</w:t>
      </w:r>
      <w:r w:rsidR="00787B32">
        <w:rPr>
          <w:rFonts w:cs="Arial"/>
          <w:szCs w:val="24"/>
        </w:rPr>
        <w:t>:</w:t>
      </w:r>
    </w:p>
    <w:p w14:paraId="13EC8579" w14:textId="77777777" w:rsidR="004F6E8D" w:rsidRPr="00DE63D3" w:rsidRDefault="004F6E8D" w:rsidP="003E5F8A">
      <w:pPr>
        <w:rPr>
          <w:rFonts w:cs="Arial"/>
          <w:szCs w:val="24"/>
        </w:rPr>
      </w:pPr>
    </w:p>
    <w:p w14:paraId="012EF430" w14:textId="6F66FF01" w:rsidR="00CE432C" w:rsidRPr="00CB5B51" w:rsidRDefault="003A2E11" w:rsidP="00873AFF">
      <w:pPr>
        <w:pStyle w:val="ListParagraph"/>
        <w:numPr>
          <w:ilvl w:val="0"/>
          <w:numId w:val="15"/>
        </w:numPr>
      </w:pPr>
      <w:r>
        <w:t>T</w:t>
      </w:r>
      <w:r w:rsidR="00CE432C" w:rsidRPr="00CB5B51">
        <w:t xml:space="preserve">he insurer must notify the Authority in writing, no later than 14 days before the notice referred to in </w:t>
      </w:r>
      <w:r w:rsidR="00FD3337">
        <w:t>(b)</w:t>
      </w:r>
      <w:r w:rsidR="00CE432C" w:rsidRPr="00CB5B51">
        <w:t xml:space="preserve"> below, of the occurrence of the event and provide the Authority with the information specified in the undertakings give</w:t>
      </w:r>
      <w:r w:rsidR="00EB1B6E">
        <w:t>n to the Authority</w:t>
      </w:r>
      <w:r>
        <w:t>.</w:t>
      </w:r>
    </w:p>
    <w:p w14:paraId="1B9A5858" w14:textId="77777777" w:rsidR="00CE432C" w:rsidRDefault="00CE432C" w:rsidP="00873AFF"/>
    <w:p w14:paraId="73C92C59" w14:textId="20F467F2" w:rsidR="004F6E8D" w:rsidRPr="00DE63D3" w:rsidRDefault="003A2E11" w:rsidP="00873AFF">
      <w:pPr>
        <w:pStyle w:val="ListParagraph"/>
        <w:numPr>
          <w:ilvl w:val="0"/>
          <w:numId w:val="15"/>
        </w:numPr>
      </w:pPr>
      <w:r>
        <w:t>T</w:t>
      </w:r>
      <w:r w:rsidR="004F6E8D" w:rsidRPr="00DE63D3">
        <w:t xml:space="preserve">he insurer must, within one month of becoming so aware, notify the trustees (if the sovereign annuity is purchased in the name of the scheme) or the member (where it is purchased in the member’s name) in writing of the event and explain, in a clear and comprehensible manner, what impact the event </w:t>
      </w:r>
      <w:r w:rsidR="004F6E8D" w:rsidRPr="00DE63D3">
        <w:lastRenderedPageBreak/>
        <w:t>may have on payments under the sovereign annuity (but this notice does not need to inclu</w:t>
      </w:r>
      <w:r w:rsidR="00EB1B6E">
        <w:t>de the amount of any reduction)</w:t>
      </w:r>
      <w:r>
        <w:t>.</w:t>
      </w:r>
    </w:p>
    <w:p w14:paraId="07B757C8" w14:textId="77777777" w:rsidR="004F6E8D" w:rsidRPr="00DE63D3" w:rsidRDefault="004F6E8D" w:rsidP="00873AFF"/>
    <w:p w14:paraId="1FAF5A77" w14:textId="6CCF61D9" w:rsidR="004F6E8D" w:rsidRPr="00DE63D3" w:rsidRDefault="003A2E11" w:rsidP="00873AFF">
      <w:pPr>
        <w:pStyle w:val="ListParagraph"/>
        <w:numPr>
          <w:ilvl w:val="0"/>
          <w:numId w:val="15"/>
        </w:numPr>
      </w:pPr>
      <w:r>
        <w:t>T</w:t>
      </w:r>
      <w:r w:rsidR="004F6E8D" w:rsidRPr="00DE63D3">
        <w:t xml:space="preserve">he insurer cannot make a reduction until at least three months have elapsed since the notice referred to in </w:t>
      </w:r>
      <w:r w:rsidR="00FD3337">
        <w:t>(b)</w:t>
      </w:r>
      <w:r w:rsidR="00EB1B6E">
        <w:t xml:space="preserve"> above</w:t>
      </w:r>
      <w:r>
        <w:t>.</w:t>
      </w:r>
    </w:p>
    <w:p w14:paraId="252E53A9" w14:textId="77777777" w:rsidR="004F6E8D" w:rsidRPr="00DE63D3" w:rsidRDefault="004F6E8D" w:rsidP="00873AFF"/>
    <w:p w14:paraId="7D4C385B" w14:textId="0FFBD2F4" w:rsidR="004F6E8D" w:rsidRPr="00DE63D3" w:rsidRDefault="003A2E11" w:rsidP="00873AFF">
      <w:pPr>
        <w:pStyle w:val="ListParagraph"/>
        <w:numPr>
          <w:ilvl w:val="0"/>
          <w:numId w:val="15"/>
        </w:numPr>
      </w:pPr>
      <w:r>
        <w:t>N</w:t>
      </w:r>
      <w:r w:rsidR="004F6E8D" w:rsidRPr="00DE63D3">
        <w:t xml:space="preserve">ot less than one month before payments under the sovereign annuity are reduced, the insurer must </w:t>
      </w:r>
      <w:r w:rsidR="00750C56" w:rsidRPr="00DE63D3">
        <w:t>notify the trustees or the member</w:t>
      </w:r>
      <w:r w:rsidR="009121FA">
        <w:t>,</w:t>
      </w:r>
      <w:r w:rsidR="00750C56" w:rsidRPr="00DE63D3">
        <w:t xml:space="preserve"> as appropriate</w:t>
      </w:r>
      <w:r w:rsidR="009121FA">
        <w:t>,</w:t>
      </w:r>
      <w:r w:rsidR="00750C56" w:rsidRPr="00DE63D3">
        <w:t xml:space="preserve"> </w:t>
      </w:r>
      <w:r w:rsidR="004F6E8D" w:rsidRPr="00DE63D3">
        <w:t xml:space="preserve">of the amount by, and manner in, which payments under the policy will be </w:t>
      </w:r>
      <w:r w:rsidR="00873AFF">
        <w:t>r</w:t>
      </w:r>
      <w:r w:rsidR="004F6E8D" w:rsidRPr="00DE63D3">
        <w:t>educed.</w:t>
      </w:r>
    </w:p>
    <w:p w14:paraId="62A7C74D" w14:textId="77777777" w:rsidR="00FD3337" w:rsidRDefault="00FD3337" w:rsidP="003E5F8A">
      <w:pPr>
        <w:rPr>
          <w:rFonts w:cs="Arial"/>
          <w:szCs w:val="24"/>
        </w:rPr>
      </w:pPr>
    </w:p>
    <w:p w14:paraId="57651CCE" w14:textId="58D0F083" w:rsidR="00B0385F" w:rsidRPr="00DE63D3" w:rsidRDefault="00993F95" w:rsidP="003E5F8A">
      <w:pPr>
        <w:ind w:left="0" w:firstLine="0"/>
        <w:rPr>
          <w:rFonts w:cs="Arial"/>
          <w:szCs w:val="24"/>
        </w:rPr>
      </w:pPr>
      <w:r w:rsidRPr="00DE63D3">
        <w:rPr>
          <w:rFonts w:cs="Arial"/>
          <w:szCs w:val="24"/>
        </w:rPr>
        <w:t xml:space="preserve">Where, following an initial event of non-performance, the insurer can reasonably anticipate </w:t>
      </w:r>
      <w:r w:rsidR="00226A1B" w:rsidRPr="00DE63D3">
        <w:rPr>
          <w:rFonts w:cs="Arial"/>
          <w:szCs w:val="24"/>
        </w:rPr>
        <w:t xml:space="preserve">that </w:t>
      </w:r>
      <w:r w:rsidRPr="00DE63D3">
        <w:rPr>
          <w:rFonts w:cs="Arial"/>
          <w:szCs w:val="24"/>
        </w:rPr>
        <w:t>further events of non-performance</w:t>
      </w:r>
      <w:r w:rsidR="005256B3" w:rsidRPr="00DE63D3">
        <w:rPr>
          <w:rFonts w:cs="Arial"/>
          <w:szCs w:val="24"/>
        </w:rPr>
        <w:t xml:space="preserve"> will occur</w:t>
      </w:r>
      <w:r w:rsidRPr="00DE63D3">
        <w:rPr>
          <w:rFonts w:cs="Arial"/>
          <w:szCs w:val="24"/>
        </w:rPr>
        <w:t>, the above obligations do not need to be complied with by the insurer so long as the notices referred to above have explained the impact of the anticipated further events of non-performance on payments under the sovereign annuity.</w:t>
      </w:r>
    </w:p>
    <w:p w14:paraId="487F46F3" w14:textId="77777777" w:rsidR="007B48EE" w:rsidRPr="00981B28" w:rsidRDefault="007B48EE" w:rsidP="003E5F8A">
      <w:pPr>
        <w:rPr>
          <w:rFonts w:cs="Arial"/>
          <w:b/>
          <w:szCs w:val="24"/>
        </w:rPr>
      </w:pPr>
    </w:p>
    <w:p w14:paraId="27EFD1A7" w14:textId="622FCF64" w:rsidR="004F6E8D" w:rsidRPr="000F1DA3" w:rsidRDefault="004F6E8D" w:rsidP="001A29D1">
      <w:pPr>
        <w:pStyle w:val="Heading3"/>
      </w:pPr>
      <w:r w:rsidRPr="000F1DA3">
        <w:t>E</w:t>
      </w:r>
      <w:r w:rsidR="00616A69">
        <w:t>vent of recovery/restoration in payments</w:t>
      </w:r>
    </w:p>
    <w:p w14:paraId="6DD7B01D" w14:textId="39FD8AB6" w:rsidR="004F6E8D" w:rsidRPr="000F1DA3" w:rsidRDefault="004F6E8D" w:rsidP="001A29D1">
      <w:pPr>
        <w:pStyle w:val="Heading4"/>
        <w:ind w:left="567" w:hanging="567"/>
      </w:pPr>
      <w:bookmarkStart w:id="36" w:name="_Toc139446084"/>
      <w:bookmarkStart w:id="37" w:name="Q19"/>
      <w:r w:rsidRPr="00FD3337">
        <w:t>After</w:t>
      </w:r>
      <w:r w:rsidRPr="000F1DA3">
        <w:t xml:space="preserve"> reduction, can payments be restored?</w:t>
      </w:r>
      <w:bookmarkEnd w:id="36"/>
    </w:p>
    <w:bookmarkEnd w:id="37"/>
    <w:p w14:paraId="4BCA0F45" w14:textId="77777777" w:rsidR="004F6E8D" w:rsidRPr="00DE63D3" w:rsidRDefault="004F6E8D" w:rsidP="003E5F8A">
      <w:pPr>
        <w:rPr>
          <w:rFonts w:cs="Arial"/>
          <w:szCs w:val="24"/>
        </w:rPr>
      </w:pPr>
      <w:r w:rsidRPr="00DE63D3">
        <w:rPr>
          <w:rFonts w:cs="Arial"/>
          <w:szCs w:val="24"/>
        </w:rPr>
        <w:t xml:space="preserve">Payments can be restored if there is a subsequent event of recovery.  </w:t>
      </w:r>
    </w:p>
    <w:p w14:paraId="21B8AD6C" w14:textId="77777777" w:rsidR="0088179E" w:rsidRPr="00DE63D3" w:rsidRDefault="0088179E" w:rsidP="003E5F8A">
      <w:pPr>
        <w:rPr>
          <w:rFonts w:cs="Arial"/>
          <w:szCs w:val="24"/>
        </w:rPr>
      </w:pPr>
    </w:p>
    <w:p w14:paraId="44E1DC87" w14:textId="77777777" w:rsidR="0088179E" w:rsidRPr="000F1DA3" w:rsidRDefault="0088179E" w:rsidP="001A29D1">
      <w:pPr>
        <w:pStyle w:val="Heading4"/>
        <w:ind w:left="567" w:hanging="567"/>
      </w:pPr>
      <w:bookmarkStart w:id="38" w:name="_Toc139446085"/>
      <w:bookmarkStart w:id="39" w:name="Q20"/>
      <w:r w:rsidRPr="000F1DA3">
        <w:t>What is an event of recovery?</w:t>
      </w:r>
      <w:bookmarkEnd w:id="38"/>
    </w:p>
    <w:bookmarkEnd w:id="39"/>
    <w:p w14:paraId="59E978E2" w14:textId="17A32717" w:rsidR="0088179E" w:rsidRPr="00DE63D3" w:rsidRDefault="009121FA" w:rsidP="003E5F8A">
      <w:pPr>
        <w:ind w:left="0" w:firstLine="0"/>
        <w:rPr>
          <w:rFonts w:cs="Arial"/>
          <w:szCs w:val="24"/>
        </w:rPr>
      </w:pPr>
      <w:r>
        <w:rPr>
          <w:rFonts w:cs="Arial"/>
          <w:szCs w:val="24"/>
        </w:rPr>
        <w:t xml:space="preserve">An event of recovery is </w:t>
      </w:r>
      <w:r w:rsidR="0088179E" w:rsidRPr="00DE63D3">
        <w:rPr>
          <w:rFonts w:cs="Arial"/>
          <w:szCs w:val="24"/>
        </w:rPr>
        <w:t>where, following an event of non-performance, any payment is received other than an expected payment. It does not matter if the payment is received before or after the maturity date of the reference bond.</w:t>
      </w:r>
    </w:p>
    <w:p w14:paraId="6CCF4EF7" w14:textId="77777777" w:rsidR="004F6E8D" w:rsidRPr="00DE63D3" w:rsidRDefault="004F6E8D" w:rsidP="003E5F8A">
      <w:pPr>
        <w:rPr>
          <w:rFonts w:cs="Arial"/>
          <w:szCs w:val="24"/>
        </w:rPr>
      </w:pPr>
    </w:p>
    <w:p w14:paraId="681543E7" w14:textId="28970C45" w:rsidR="004F6E8D" w:rsidRPr="00DE63D3" w:rsidRDefault="004F6E8D" w:rsidP="001025A9">
      <w:pPr>
        <w:pStyle w:val="Heading4"/>
        <w:ind w:left="0" w:firstLine="0"/>
      </w:pPr>
      <w:bookmarkStart w:id="40" w:name="_Toc139446086"/>
      <w:bookmarkStart w:id="41" w:name="Q21"/>
      <w:r w:rsidRPr="000F1DA3">
        <w:t>Does the insurer have discretion as to whether to increase payments where an event of recovery</w:t>
      </w:r>
      <w:r w:rsidR="00996F46" w:rsidRPr="000F1DA3">
        <w:t xml:space="preserve"> occurs</w:t>
      </w:r>
      <w:r w:rsidRPr="00DE63D3">
        <w:t>?</w:t>
      </w:r>
      <w:bookmarkEnd w:id="40"/>
    </w:p>
    <w:bookmarkEnd w:id="41"/>
    <w:p w14:paraId="7173E08A" w14:textId="679F6D39" w:rsidR="004F6E8D" w:rsidRPr="00DE63D3" w:rsidRDefault="004F6E8D" w:rsidP="003E5F8A">
      <w:pPr>
        <w:ind w:left="0" w:firstLine="0"/>
        <w:rPr>
          <w:rFonts w:cs="Arial"/>
          <w:szCs w:val="24"/>
        </w:rPr>
      </w:pPr>
      <w:r w:rsidRPr="00DE63D3">
        <w:rPr>
          <w:rFonts w:cs="Arial"/>
          <w:szCs w:val="24"/>
        </w:rPr>
        <w:t xml:space="preserve">No. Once a reduction has been made following an event of non-performance, the insurer must restore payments to take full account of </w:t>
      </w:r>
      <w:r w:rsidR="00750C56" w:rsidRPr="00DE63D3">
        <w:rPr>
          <w:rFonts w:cs="Arial"/>
          <w:szCs w:val="24"/>
        </w:rPr>
        <w:t>a subsequent</w:t>
      </w:r>
      <w:r w:rsidR="0088179E" w:rsidRPr="00DE63D3">
        <w:rPr>
          <w:rFonts w:cs="Arial"/>
          <w:szCs w:val="24"/>
        </w:rPr>
        <w:t xml:space="preserve"> </w:t>
      </w:r>
      <w:r w:rsidRPr="00DE63D3">
        <w:rPr>
          <w:rFonts w:cs="Arial"/>
          <w:szCs w:val="24"/>
        </w:rPr>
        <w:t>event</w:t>
      </w:r>
      <w:r w:rsidR="0088179E" w:rsidRPr="00DE63D3">
        <w:rPr>
          <w:rFonts w:cs="Arial"/>
          <w:szCs w:val="24"/>
        </w:rPr>
        <w:t xml:space="preserve"> of recovery</w:t>
      </w:r>
      <w:r w:rsidRPr="00DE63D3">
        <w:rPr>
          <w:rFonts w:cs="Arial"/>
          <w:szCs w:val="24"/>
        </w:rPr>
        <w:t xml:space="preserve">.  </w:t>
      </w:r>
      <w:r w:rsidR="0088179E" w:rsidRPr="00DE63D3">
        <w:rPr>
          <w:rFonts w:cs="Arial"/>
          <w:szCs w:val="24"/>
        </w:rPr>
        <w:t xml:space="preserve">The restoration must be calculated and applied in the same manner as the reduction was </w:t>
      </w:r>
      <w:r w:rsidR="00226A1B" w:rsidRPr="00DE63D3">
        <w:rPr>
          <w:rFonts w:cs="Arial"/>
          <w:szCs w:val="24"/>
        </w:rPr>
        <w:t xml:space="preserve">calculated and </w:t>
      </w:r>
      <w:r w:rsidR="0088179E" w:rsidRPr="00DE63D3">
        <w:rPr>
          <w:rFonts w:cs="Arial"/>
          <w:szCs w:val="24"/>
        </w:rPr>
        <w:t>applied following the event of non-performance.</w:t>
      </w:r>
    </w:p>
    <w:p w14:paraId="057A038D" w14:textId="77777777" w:rsidR="004F6E8D" w:rsidRPr="00DE63D3" w:rsidRDefault="004F6E8D" w:rsidP="003E5F8A">
      <w:pPr>
        <w:rPr>
          <w:rFonts w:cs="Arial"/>
          <w:szCs w:val="24"/>
        </w:rPr>
      </w:pPr>
    </w:p>
    <w:p w14:paraId="34E6DD9D" w14:textId="77777777" w:rsidR="004F6E8D" w:rsidRPr="00EB1B6E" w:rsidRDefault="004F6E8D" w:rsidP="001025A9">
      <w:pPr>
        <w:pStyle w:val="Heading4"/>
        <w:ind w:left="0" w:firstLine="0"/>
      </w:pPr>
      <w:bookmarkStart w:id="42" w:name="_Toc139446087"/>
      <w:bookmarkStart w:id="43" w:name="Q22"/>
      <w:r w:rsidRPr="00FD3337">
        <w:t>What</w:t>
      </w:r>
      <w:r w:rsidRPr="00EB1B6E">
        <w:t xml:space="preserve"> are the time limits for making a restoration following an event of recovery?</w:t>
      </w:r>
      <w:bookmarkEnd w:id="42"/>
    </w:p>
    <w:bookmarkEnd w:id="43"/>
    <w:p w14:paraId="38FDFFF9" w14:textId="2D06595F" w:rsidR="004F6E8D" w:rsidRPr="00DE63D3" w:rsidRDefault="004F6E8D" w:rsidP="003E5F8A">
      <w:pPr>
        <w:rPr>
          <w:rFonts w:cs="Arial"/>
          <w:szCs w:val="24"/>
        </w:rPr>
      </w:pPr>
      <w:r w:rsidRPr="00DE63D3">
        <w:rPr>
          <w:rFonts w:cs="Arial"/>
          <w:szCs w:val="24"/>
        </w:rPr>
        <w:t>The insurer must</w:t>
      </w:r>
      <w:r w:rsidR="00787B32">
        <w:rPr>
          <w:rFonts w:cs="Arial"/>
          <w:szCs w:val="24"/>
        </w:rPr>
        <w:t>:</w:t>
      </w:r>
    </w:p>
    <w:p w14:paraId="0351C7FB" w14:textId="77777777" w:rsidR="004F6E8D" w:rsidRPr="00DE63D3" w:rsidRDefault="004F6E8D" w:rsidP="003E5F8A">
      <w:pPr>
        <w:rPr>
          <w:rFonts w:cs="Arial"/>
          <w:szCs w:val="24"/>
        </w:rPr>
      </w:pPr>
    </w:p>
    <w:p w14:paraId="198D67DD" w14:textId="25937345" w:rsidR="00145C80" w:rsidRDefault="00145C80" w:rsidP="001A29D1">
      <w:pPr>
        <w:pStyle w:val="ListParagraph"/>
        <w:numPr>
          <w:ilvl w:val="0"/>
          <w:numId w:val="14"/>
        </w:numPr>
      </w:pPr>
      <w:r w:rsidRPr="00EB1B6E">
        <w:t xml:space="preserve">notify the Authority in writing, no later than 14 days before the notice referred to in </w:t>
      </w:r>
      <w:r w:rsidR="00FD3337">
        <w:t>(b)</w:t>
      </w:r>
      <w:r w:rsidRPr="00EB1B6E">
        <w:t xml:space="preserve"> below, of the occurrence of the event and provide the Authority with the information specified in the unde</w:t>
      </w:r>
      <w:r w:rsidR="00EB1B6E" w:rsidRPr="00EB1B6E">
        <w:t xml:space="preserve">rtakings given to the </w:t>
      </w:r>
      <w:proofErr w:type="gramStart"/>
      <w:r w:rsidR="00EB1B6E" w:rsidRPr="00EB1B6E">
        <w:t>Authority;</w:t>
      </w:r>
      <w:proofErr w:type="gramEnd"/>
    </w:p>
    <w:p w14:paraId="4A14B890" w14:textId="77777777" w:rsidR="00EB1B6E" w:rsidRPr="00EB1B6E" w:rsidRDefault="00EB1B6E" w:rsidP="001A29D1">
      <w:pPr>
        <w:rPr>
          <w:sz w:val="16"/>
        </w:rPr>
      </w:pPr>
    </w:p>
    <w:p w14:paraId="73719776" w14:textId="6DF269AF" w:rsidR="004F6E8D" w:rsidRPr="00DE63D3" w:rsidRDefault="004F6E8D" w:rsidP="001A29D1">
      <w:pPr>
        <w:pStyle w:val="ListParagraph"/>
        <w:numPr>
          <w:ilvl w:val="0"/>
          <w:numId w:val="14"/>
        </w:numPr>
      </w:pPr>
      <w:r w:rsidRPr="00DE63D3">
        <w:t>within one month of becoming aware of the event of recovery, give written notification</w:t>
      </w:r>
      <w:r w:rsidR="00270362">
        <w:t xml:space="preserve"> </w:t>
      </w:r>
      <w:r w:rsidR="00F56AF5">
        <w:t xml:space="preserve">to the </w:t>
      </w:r>
      <w:r w:rsidR="00F56AF5" w:rsidRPr="00DE63D3">
        <w:t xml:space="preserve">trustees (if the sovereign annuity is purchased in the name </w:t>
      </w:r>
      <w:r w:rsidR="00F56AF5" w:rsidRPr="00DE63D3">
        <w:lastRenderedPageBreak/>
        <w:t xml:space="preserve">of the scheme) or the member (where it is purchased in the member’s name) </w:t>
      </w:r>
      <w:r w:rsidRPr="00DE63D3">
        <w:t>of the event and explain, clearly and comprehensively, what impact it may ha</w:t>
      </w:r>
      <w:r w:rsidR="00EB1B6E">
        <w:t>ve on payments under the policy;</w:t>
      </w:r>
      <w:r w:rsidR="003A2E11">
        <w:t xml:space="preserve"> and</w:t>
      </w:r>
    </w:p>
    <w:p w14:paraId="67CC7B4F" w14:textId="77777777" w:rsidR="004F6E8D" w:rsidRPr="00DE63D3" w:rsidRDefault="004F6E8D" w:rsidP="001A29D1"/>
    <w:p w14:paraId="2AA376C5" w14:textId="56ED2A4A" w:rsidR="004F6E8D" w:rsidRPr="00DE63D3" w:rsidRDefault="004F6E8D" w:rsidP="001A29D1">
      <w:pPr>
        <w:pStyle w:val="ListParagraph"/>
        <w:numPr>
          <w:ilvl w:val="0"/>
          <w:numId w:val="14"/>
        </w:numPr>
      </w:pPr>
      <w:r w:rsidRPr="00DE63D3">
        <w:t xml:space="preserve">within three months of the event, make the restoration and give written notification </w:t>
      </w:r>
      <w:r w:rsidR="00F56AF5">
        <w:t>to</w:t>
      </w:r>
      <w:r w:rsidR="00F56AF5" w:rsidRPr="00DE63D3">
        <w:t xml:space="preserve"> the trustees or the member</w:t>
      </w:r>
      <w:r w:rsidR="00F56AF5">
        <w:t>,</w:t>
      </w:r>
      <w:r w:rsidR="00F56AF5" w:rsidRPr="00DE63D3">
        <w:t xml:space="preserve"> as appropriate</w:t>
      </w:r>
      <w:r w:rsidR="00F56AF5">
        <w:t xml:space="preserve">, </w:t>
      </w:r>
      <w:r w:rsidRPr="00DE63D3">
        <w:t xml:space="preserve">of the amount by, and </w:t>
      </w:r>
      <w:proofErr w:type="gramStart"/>
      <w:r w:rsidRPr="00DE63D3">
        <w:t>manner in which</w:t>
      </w:r>
      <w:proofErr w:type="gramEnd"/>
      <w:r w:rsidRPr="00DE63D3">
        <w:t>, payments have been restored.</w:t>
      </w:r>
    </w:p>
    <w:p w14:paraId="74CFA942" w14:textId="77777777" w:rsidR="001E5880" w:rsidRDefault="001E5880" w:rsidP="003E5F8A">
      <w:pPr>
        <w:ind w:left="0" w:firstLine="0"/>
        <w:rPr>
          <w:rFonts w:cs="Arial"/>
          <w:szCs w:val="24"/>
        </w:rPr>
      </w:pPr>
    </w:p>
    <w:p w14:paraId="70DDAC54" w14:textId="13B729EA" w:rsidR="0088179E" w:rsidRPr="00DE63D3" w:rsidRDefault="00993F95" w:rsidP="003E5F8A">
      <w:pPr>
        <w:ind w:left="0" w:firstLine="0"/>
        <w:rPr>
          <w:rFonts w:cs="Arial"/>
          <w:szCs w:val="24"/>
        </w:rPr>
      </w:pPr>
      <w:r w:rsidRPr="00DE63D3">
        <w:rPr>
          <w:rFonts w:cs="Arial"/>
          <w:szCs w:val="24"/>
        </w:rPr>
        <w:t xml:space="preserve">Where, following an initial event of </w:t>
      </w:r>
      <w:r w:rsidR="00996F46" w:rsidRPr="00DE63D3">
        <w:rPr>
          <w:rFonts w:cs="Arial"/>
          <w:szCs w:val="24"/>
        </w:rPr>
        <w:t>recovery</w:t>
      </w:r>
      <w:r w:rsidRPr="00DE63D3">
        <w:rPr>
          <w:rFonts w:cs="Arial"/>
          <w:szCs w:val="24"/>
        </w:rPr>
        <w:t xml:space="preserve">, the insurer can reasonably anticipate further events of </w:t>
      </w:r>
      <w:r w:rsidR="00996F46" w:rsidRPr="00DE63D3">
        <w:rPr>
          <w:rFonts w:cs="Arial"/>
          <w:szCs w:val="24"/>
        </w:rPr>
        <w:t>recovery</w:t>
      </w:r>
      <w:r w:rsidRPr="00DE63D3">
        <w:rPr>
          <w:rFonts w:cs="Arial"/>
          <w:szCs w:val="24"/>
        </w:rPr>
        <w:t xml:space="preserve">, the above obligations do not need to be complied with by the insurer so long as the notices referred to above have explained the impact of the anticipated further events of </w:t>
      </w:r>
      <w:r w:rsidR="00996F46" w:rsidRPr="00DE63D3">
        <w:rPr>
          <w:rFonts w:cs="Arial"/>
          <w:szCs w:val="24"/>
        </w:rPr>
        <w:t>recovery</w:t>
      </w:r>
      <w:r w:rsidRPr="00DE63D3">
        <w:rPr>
          <w:rFonts w:cs="Arial"/>
          <w:szCs w:val="24"/>
        </w:rPr>
        <w:t xml:space="preserve"> on payments under the sovereign annuity.</w:t>
      </w:r>
    </w:p>
    <w:p w14:paraId="766B8480" w14:textId="77777777" w:rsidR="004F6E8D" w:rsidRPr="00787B32" w:rsidRDefault="004F6E8D" w:rsidP="003E5F8A">
      <w:pPr>
        <w:rPr>
          <w:rFonts w:cs="Arial"/>
          <w:szCs w:val="24"/>
        </w:rPr>
      </w:pPr>
    </w:p>
    <w:p w14:paraId="15C71764" w14:textId="185E2668" w:rsidR="004F6E8D" w:rsidRPr="00EB1B6E" w:rsidRDefault="004F6E8D" w:rsidP="001A29D1">
      <w:pPr>
        <w:pStyle w:val="Heading3"/>
      </w:pPr>
      <w:r w:rsidRPr="00EB1B6E">
        <w:t>I</w:t>
      </w:r>
      <w:r w:rsidR="00616A69">
        <w:t>nsurer’s treatment of policyholders</w:t>
      </w:r>
    </w:p>
    <w:p w14:paraId="50913AB6" w14:textId="52788C03" w:rsidR="004F6E8D" w:rsidRPr="003E5F8A" w:rsidRDefault="004F6E8D" w:rsidP="001A29D1">
      <w:pPr>
        <w:pStyle w:val="Heading4"/>
        <w:ind w:left="567" w:hanging="567"/>
      </w:pPr>
      <w:bookmarkStart w:id="44" w:name="_Toc139446088"/>
      <w:bookmarkStart w:id="45" w:name="Q23"/>
      <w:r w:rsidRPr="00EB1B6E">
        <w:t>Must an insurer provide a copy of the policy to the policyholder?</w:t>
      </w:r>
      <w:bookmarkEnd w:id="44"/>
    </w:p>
    <w:bookmarkEnd w:id="45"/>
    <w:p w14:paraId="2E7F06EF" w14:textId="03479FCF" w:rsidR="004F6E8D" w:rsidRPr="00DE63D3" w:rsidRDefault="004F6E8D" w:rsidP="003E5F8A">
      <w:pPr>
        <w:ind w:left="0" w:firstLine="0"/>
        <w:rPr>
          <w:rFonts w:cs="Arial"/>
          <w:szCs w:val="24"/>
        </w:rPr>
      </w:pPr>
      <w:r w:rsidRPr="00DE63D3">
        <w:rPr>
          <w:rFonts w:cs="Arial"/>
          <w:szCs w:val="24"/>
        </w:rPr>
        <w:t xml:space="preserve">Yes, the insurer must provide </w:t>
      </w:r>
      <w:r w:rsidR="002C752D">
        <w:rPr>
          <w:rFonts w:cs="Arial"/>
          <w:szCs w:val="24"/>
        </w:rPr>
        <w:t xml:space="preserve">a copy of the policy to </w:t>
      </w:r>
      <w:r w:rsidRPr="00DE63D3">
        <w:rPr>
          <w:rFonts w:cs="Arial"/>
          <w:szCs w:val="24"/>
        </w:rPr>
        <w:t>the policyholder</w:t>
      </w:r>
      <w:r w:rsidR="002C752D">
        <w:rPr>
          <w:rFonts w:cs="Arial"/>
          <w:szCs w:val="24"/>
        </w:rPr>
        <w:t xml:space="preserve"> </w:t>
      </w:r>
      <w:r w:rsidRPr="00DE63D3">
        <w:rPr>
          <w:rFonts w:cs="Arial"/>
          <w:szCs w:val="24"/>
        </w:rPr>
        <w:t xml:space="preserve">within ten business days of the date of issue of the policy. The policyholder will be the trustees where the payments under the policy are to the scheme and will be the individual person where the scheme is discharging its liability in respect of that person.  </w:t>
      </w:r>
    </w:p>
    <w:p w14:paraId="5A39CEC5" w14:textId="77777777" w:rsidR="004F6E8D" w:rsidRPr="00DE63D3" w:rsidRDefault="004F6E8D" w:rsidP="003E5F8A">
      <w:pPr>
        <w:rPr>
          <w:rFonts w:cs="Arial"/>
          <w:szCs w:val="24"/>
        </w:rPr>
      </w:pPr>
    </w:p>
    <w:p w14:paraId="76BE547F" w14:textId="77777777" w:rsidR="004F6E8D" w:rsidRPr="00EB1B6E" w:rsidRDefault="004F6E8D" w:rsidP="001025A9">
      <w:pPr>
        <w:pStyle w:val="Heading4"/>
        <w:ind w:left="0" w:firstLine="0"/>
      </w:pPr>
      <w:bookmarkStart w:id="46" w:name="Q24"/>
      <w:bookmarkStart w:id="47" w:name="_Toc139446089"/>
      <w:r w:rsidRPr="00EB1B6E">
        <w:t xml:space="preserve">Are </w:t>
      </w:r>
      <w:r w:rsidRPr="00C32DEF">
        <w:t>there</w:t>
      </w:r>
      <w:r w:rsidRPr="00EB1B6E">
        <w:t xml:space="preserve"> any obligations on an insurer in terms of its dealings with policyholders over and above existing legal/regulatory requirements</w:t>
      </w:r>
      <w:bookmarkEnd w:id="46"/>
      <w:r w:rsidRPr="00EB1B6E">
        <w:t>?</w:t>
      </w:r>
      <w:bookmarkEnd w:id="47"/>
    </w:p>
    <w:p w14:paraId="2357EC3B" w14:textId="6DFF52E1" w:rsidR="004F6E8D" w:rsidRPr="00DE63D3" w:rsidRDefault="004F6E8D" w:rsidP="003E5F8A">
      <w:pPr>
        <w:ind w:left="0" w:firstLine="0"/>
        <w:rPr>
          <w:rFonts w:cs="Arial"/>
          <w:szCs w:val="24"/>
        </w:rPr>
      </w:pPr>
      <w:r w:rsidRPr="00DE63D3">
        <w:rPr>
          <w:rFonts w:cs="Arial"/>
          <w:szCs w:val="24"/>
        </w:rPr>
        <w:t xml:space="preserve">The regulatory disclosure statement, terms of business disclosures and errors and complaints resolution requirements of the </w:t>
      </w:r>
      <w:r w:rsidR="008D6AF7">
        <w:rPr>
          <w:rFonts w:cs="Arial"/>
          <w:szCs w:val="24"/>
        </w:rPr>
        <w:t xml:space="preserve">Central Bank’s </w:t>
      </w:r>
      <w:r w:rsidRPr="00DE63D3">
        <w:rPr>
          <w:rFonts w:cs="Arial"/>
          <w:szCs w:val="24"/>
        </w:rPr>
        <w:t>Consumer Protection Code must be applied to the insurer’s dealings with the policyholder even if that Code may not otherwise apply to the policyholder. However, this does not require any cooling-off period to be applied where the trustees purchase a policy in the name of an individual person if that is not a legal/regulatory requirement.</w:t>
      </w:r>
    </w:p>
    <w:p w14:paraId="7F0E6AB9" w14:textId="77777777" w:rsidR="004F6E8D" w:rsidRPr="00DE63D3" w:rsidRDefault="004F6E8D" w:rsidP="003E5F8A">
      <w:pPr>
        <w:rPr>
          <w:rFonts w:cs="Arial"/>
          <w:szCs w:val="24"/>
        </w:rPr>
      </w:pPr>
    </w:p>
    <w:p w14:paraId="67212C7F" w14:textId="77777777" w:rsidR="004F6E8D" w:rsidRPr="00DE63D3" w:rsidRDefault="004F6E8D" w:rsidP="001A29D1">
      <w:pPr>
        <w:pStyle w:val="Heading4"/>
        <w:ind w:left="567" w:hanging="567"/>
      </w:pPr>
      <w:bookmarkStart w:id="48" w:name="_Toc139446090"/>
      <w:bookmarkStart w:id="49" w:name="Q25"/>
      <w:r w:rsidRPr="00EB1B6E">
        <w:t>What happens if a policyholder has any questions or complaints</w:t>
      </w:r>
      <w:r w:rsidRPr="00DE63D3">
        <w:t>?</w:t>
      </w:r>
      <w:bookmarkEnd w:id="48"/>
    </w:p>
    <w:bookmarkEnd w:id="49"/>
    <w:p w14:paraId="7F636712" w14:textId="634690F9" w:rsidR="004F6E8D" w:rsidRDefault="004F6E8D" w:rsidP="003E5F8A">
      <w:pPr>
        <w:ind w:left="0" w:firstLine="0"/>
        <w:rPr>
          <w:rFonts w:cs="Arial"/>
          <w:szCs w:val="24"/>
        </w:rPr>
      </w:pPr>
      <w:r w:rsidRPr="00DE63D3">
        <w:rPr>
          <w:rFonts w:cs="Arial"/>
          <w:szCs w:val="24"/>
        </w:rPr>
        <w:t>The policy, either in the sovereign annuity</w:t>
      </w:r>
      <w:r w:rsidR="00B02819">
        <w:rPr>
          <w:rFonts w:cs="Arial"/>
          <w:szCs w:val="24"/>
        </w:rPr>
        <w:t xml:space="preserve"> </w:t>
      </w:r>
      <w:r w:rsidRPr="00DE63D3">
        <w:rPr>
          <w:rFonts w:cs="Arial"/>
          <w:szCs w:val="24"/>
        </w:rPr>
        <w:t xml:space="preserve">appendix or elsewhere, must contain information on who a policyholder should contact in the event of any questions or complaints in relation to the policy or its administration/operation. In particular, the insurer must provide the title/position of the point of contact for complaints and details of any procedure for complaints. The policy will also notify the policyholder of their right to make a complaint to the Financial Services </w:t>
      </w:r>
      <w:r w:rsidR="00F56AF5">
        <w:rPr>
          <w:rFonts w:cs="Arial"/>
          <w:szCs w:val="24"/>
        </w:rPr>
        <w:t xml:space="preserve">and Pensions </w:t>
      </w:r>
      <w:r w:rsidRPr="00DE63D3">
        <w:rPr>
          <w:rFonts w:cs="Arial"/>
          <w:szCs w:val="24"/>
        </w:rPr>
        <w:t>Ombudsman</w:t>
      </w:r>
      <w:r w:rsidR="003634AB">
        <w:rPr>
          <w:rFonts w:cs="Arial"/>
          <w:szCs w:val="24"/>
        </w:rPr>
        <w:t xml:space="preserve"> and contain the contact details of the Ombudsman</w:t>
      </w:r>
      <w:r w:rsidRPr="00DE63D3">
        <w:rPr>
          <w:rFonts w:cs="Arial"/>
          <w:szCs w:val="24"/>
        </w:rPr>
        <w:t>.</w:t>
      </w:r>
    </w:p>
    <w:p w14:paraId="28B515F5" w14:textId="77777777" w:rsidR="003E5F8A" w:rsidRPr="00DE63D3" w:rsidRDefault="003E5F8A" w:rsidP="003E5F8A">
      <w:pPr>
        <w:ind w:left="0" w:firstLine="0"/>
        <w:rPr>
          <w:rFonts w:cs="Arial"/>
          <w:szCs w:val="24"/>
        </w:rPr>
      </w:pPr>
    </w:p>
    <w:p w14:paraId="5E30C27B" w14:textId="3F1286DF" w:rsidR="004F6E8D" w:rsidRPr="001A29D1" w:rsidRDefault="004F6E8D" w:rsidP="001A29D1">
      <w:pPr>
        <w:pStyle w:val="Heading3"/>
      </w:pPr>
      <w:r w:rsidRPr="001A29D1">
        <w:t>T</w:t>
      </w:r>
      <w:r w:rsidR="00616A69" w:rsidRPr="001A29D1">
        <w:t>r</w:t>
      </w:r>
      <w:r w:rsidR="003E5F8A" w:rsidRPr="001A29D1">
        <w:t>u</w:t>
      </w:r>
      <w:r w:rsidR="00616A69" w:rsidRPr="001A29D1">
        <w:t>stee disclosure obligations</w:t>
      </w:r>
    </w:p>
    <w:p w14:paraId="4DDE0743" w14:textId="21051E46" w:rsidR="004F6E8D" w:rsidRPr="00EB1B6E" w:rsidRDefault="00F56AF5" w:rsidP="001025A9">
      <w:pPr>
        <w:pStyle w:val="Heading4"/>
        <w:ind w:left="0" w:firstLine="0"/>
      </w:pPr>
      <w:bookmarkStart w:id="50" w:name="_Toc139446091"/>
      <w:bookmarkStart w:id="51" w:name="Q26"/>
      <w:proofErr w:type="gramStart"/>
      <w:r w:rsidRPr="00EB1B6E">
        <w:t>Are</w:t>
      </w:r>
      <w:proofErr w:type="gramEnd"/>
      <w:r w:rsidRPr="00EB1B6E">
        <w:t xml:space="preserve"> there </w:t>
      </w:r>
      <w:r w:rsidR="004F6E8D" w:rsidRPr="00EB1B6E">
        <w:t>disclosure of information obligations on trustees who purchase sovereign annuities?</w:t>
      </w:r>
      <w:bookmarkEnd w:id="50"/>
    </w:p>
    <w:bookmarkEnd w:id="51"/>
    <w:p w14:paraId="20957F8E" w14:textId="7182AB0A" w:rsidR="004F6E8D" w:rsidRPr="00DE63D3" w:rsidRDefault="004F6E8D" w:rsidP="003E5F8A">
      <w:pPr>
        <w:ind w:left="0" w:firstLine="0"/>
        <w:rPr>
          <w:rFonts w:cs="Arial"/>
          <w:szCs w:val="24"/>
        </w:rPr>
      </w:pPr>
      <w:r w:rsidRPr="00DE63D3">
        <w:rPr>
          <w:rFonts w:cs="Arial"/>
          <w:szCs w:val="24"/>
        </w:rPr>
        <w:lastRenderedPageBreak/>
        <w:t xml:space="preserve">Regulations </w:t>
      </w:r>
      <w:r w:rsidR="0088179E" w:rsidRPr="00DE63D3">
        <w:rPr>
          <w:rFonts w:cs="Arial"/>
          <w:szCs w:val="24"/>
        </w:rPr>
        <w:t>and statutory guidance issued under Part IV</w:t>
      </w:r>
      <w:r w:rsidR="00CD0CEC">
        <w:rPr>
          <w:rFonts w:cs="Arial"/>
          <w:szCs w:val="24"/>
        </w:rPr>
        <w:t>s</w:t>
      </w:r>
      <w:r w:rsidR="0088179E" w:rsidRPr="00DE63D3">
        <w:rPr>
          <w:rFonts w:cs="Arial"/>
          <w:szCs w:val="24"/>
        </w:rPr>
        <w:t xml:space="preserve"> </w:t>
      </w:r>
      <w:proofErr w:type="gramStart"/>
      <w:r w:rsidR="00127E98">
        <w:rPr>
          <w:rFonts w:cs="Arial"/>
          <w:szCs w:val="24"/>
        </w:rPr>
        <w:t>and  V</w:t>
      </w:r>
      <w:proofErr w:type="gramEnd"/>
      <w:r w:rsidR="00127E98">
        <w:rPr>
          <w:rFonts w:cs="Arial"/>
          <w:szCs w:val="24"/>
        </w:rPr>
        <w:t xml:space="preserve"> </w:t>
      </w:r>
      <w:r w:rsidR="0088179E" w:rsidRPr="00DE63D3">
        <w:rPr>
          <w:rFonts w:cs="Arial"/>
          <w:szCs w:val="24"/>
        </w:rPr>
        <w:t>of the Act</w:t>
      </w:r>
      <w:r w:rsidR="00C32DEF">
        <w:rPr>
          <w:rFonts w:cs="Arial"/>
          <w:szCs w:val="24"/>
        </w:rPr>
        <w:t xml:space="preserve"> </w:t>
      </w:r>
      <w:r w:rsidRPr="00DE63D3">
        <w:rPr>
          <w:rFonts w:cs="Arial"/>
          <w:szCs w:val="24"/>
        </w:rPr>
        <w:t>impos</w:t>
      </w:r>
      <w:r w:rsidR="0088179E" w:rsidRPr="00DE63D3">
        <w:rPr>
          <w:rFonts w:cs="Arial"/>
          <w:szCs w:val="24"/>
        </w:rPr>
        <w:t xml:space="preserve">e </w:t>
      </w:r>
      <w:r w:rsidRPr="00DE63D3">
        <w:rPr>
          <w:rFonts w:cs="Arial"/>
          <w:szCs w:val="24"/>
        </w:rPr>
        <w:t>disclosure obligations on trustees who purchase sovereign annuities</w:t>
      </w:r>
      <w:r w:rsidR="0088179E" w:rsidRPr="00DE63D3">
        <w:rPr>
          <w:rFonts w:cs="Arial"/>
          <w:szCs w:val="24"/>
        </w:rPr>
        <w:t xml:space="preserve">. These obligations vary depending on whether the trustees have purchased sovereign annuities and held them within the scheme </w:t>
      </w:r>
      <w:r w:rsidR="00993F95" w:rsidRPr="00DE63D3">
        <w:rPr>
          <w:rFonts w:cs="Arial"/>
          <w:szCs w:val="24"/>
        </w:rPr>
        <w:t xml:space="preserve">or whether the </w:t>
      </w:r>
      <w:r w:rsidR="0088179E" w:rsidRPr="00DE63D3">
        <w:rPr>
          <w:rFonts w:cs="Arial"/>
          <w:szCs w:val="24"/>
        </w:rPr>
        <w:t xml:space="preserve">trustees </w:t>
      </w:r>
      <w:r w:rsidR="00993F95" w:rsidRPr="00DE63D3">
        <w:rPr>
          <w:rFonts w:cs="Arial"/>
          <w:szCs w:val="24"/>
        </w:rPr>
        <w:t xml:space="preserve">have </w:t>
      </w:r>
      <w:r w:rsidRPr="00DE63D3">
        <w:rPr>
          <w:rFonts w:cs="Arial"/>
          <w:szCs w:val="24"/>
        </w:rPr>
        <w:t>discharg</w:t>
      </w:r>
      <w:r w:rsidR="0088179E" w:rsidRPr="00DE63D3">
        <w:rPr>
          <w:rFonts w:cs="Arial"/>
          <w:szCs w:val="24"/>
        </w:rPr>
        <w:t>e</w:t>
      </w:r>
      <w:r w:rsidR="00993F95" w:rsidRPr="00DE63D3">
        <w:rPr>
          <w:rFonts w:cs="Arial"/>
          <w:szCs w:val="24"/>
        </w:rPr>
        <w:t>d</w:t>
      </w:r>
      <w:r w:rsidR="0088179E" w:rsidRPr="00DE63D3">
        <w:rPr>
          <w:rFonts w:cs="Arial"/>
          <w:szCs w:val="24"/>
        </w:rPr>
        <w:t xml:space="preserve"> </w:t>
      </w:r>
      <w:r w:rsidRPr="00DE63D3">
        <w:rPr>
          <w:rFonts w:cs="Arial"/>
          <w:szCs w:val="24"/>
        </w:rPr>
        <w:t xml:space="preserve">all or part of </w:t>
      </w:r>
      <w:r w:rsidR="0088179E" w:rsidRPr="00DE63D3">
        <w:rPr>
          <w:rFonts w:cs="Arial"/>
          <w:szCs w:val="24"/>
        </w:rPr>
        <w:t xml:space="preserve">a scheme’s </w:t>
      </w:r>
      <w:r w:rsidRPr="00DE63D3">
        <w:rPr>
          <w:rFonts w:cs="Arial"/>
          <w:szCs w:val="24"/>
        </w:rPr>
        <w:t xml:space="preserve">liability to </w:t>
      </w:r>
      <w:r w:rsidR="0088179E" w:rsidRPr="00DE63D3">
        <w:rPr>
          <w:rFonts w:cs="Arial"/>
          <w:szCs w:val="24"/>
        </w:rPr>
        <w:t xml:space="preserve">a </w:t>
      </w:r>
      <w:r w:rsidRPr="00DE63D3">
        <w:rPr>
          <w:rFonts w:cs="Arial"/>
          <w:szCs w:val="24"/>
        </w:rPr>
        <w:t xml:space="preserve">person by the purchase of a sovereign annuity.  </w:t>
      </w:r>
    </w:p>
    <w:p w14:paraId="281D877B" w14:textId="77777777" w:rsidR="004F6E8D" w:rsidRPr="00DE63D3" w:rsidRDefault="004F6E8D" w:rsidP="003E5F8A">
      <w:pPr>
        <w:rPr>
          <w:rFonts w:cs="Arial"/>
          <w:szCs w:val="24"/>
        </w:rPr>
      </w:pPr>
    </w:p>
    <w:p w14:paraId="0FE34F7B" w14:textId="77B6BADF" w:rsidR="004F6E8D" w:rsidRPr="003E5F8A" w:rsidRDefault="004F6E8D" w:rsidP="001A29D1">
      <w:pPr>
        <w:pStyle w:val="Heading4"/>
        <w:ind w:left="567" w:hanging="567"/>
      </w:pPr>
      <w:bookmarkStart w:id="52" w:name="Q27"/>
      <w:bookmarkStart w:id="53" w:name="_Toc139446092"/>
      <w:r w:rsidRPr="00EB1B6E">
        <w:t>Where can I get more information on sovereign annuities?</w:t>
      </w:r>
      <w:bookmarkEnd w:id="52"/>
      <w:bookmarkEnd w:id="53"/>
    </w:p>
    <w:p w14:paraId="501AB8FD" w14:textId="42B538D6" w:rsidR="001B5B83" w:rsidRPr="00DE63D3" w:rsidRDefault="004F6E8D" w:rsidP="003E5F8A">
      <w:pPr>
        <w:ind w:left="0" w:firstLine="0"/>
        <w:rPr>
          <w:rFonts w:cs="Arial"/>
          <w:szCs w:val="24"/>
        </w:rPr>
      </w:pPr>
      <w:r w:rsidRPr="00DE63D3">
        <w:rPr>
          <w:rFonts w:cs="Arial"/>
          <w:szCs w:val="24"/>
        </w:rPr>
        <w:t>More detailed information on sovereign annuities</w:t>
      </w:r>
      <w:r w:rsidR="00B02819">
        <w:rPr>
          <w:rFonts w:cs="Arial"/>
          <w:szCs w:val="24"/>
        </w:rPr>
        <w:t xml:space="preserve"> </w:t>
      </w:r>
      <w:r w:rsidRPr="00DE63D3">
        <w:rPr>
          <w:rFonts w:cs="Arial"/>
          <w:szCs w:val="24"/>
        </w:rPr>
        <w:t xml:space="preserve">can be found in the FAQs for </w:t>
      </w:r>
      <w:r w:rsidR="008D6AF7">
        <w:rPr>
          <w:rFonts w:cs="Arial"/>
          <w:szCs w:val="24"/>
        </w:rPr>
        <w:t>i</w:t>
      </w:r>
      <w:r w:rsidRPr="00DE63D3">
        <w:rPr>
          <w:rFonts w:cs="Arial"/>
          <w:szCs w:val="24"/>
        </w:rPr>
        <w:t xml:space="preserve">nsurers </w:t>
      </w:r>
      <w:r w:rsidR="00802079">
        <w:rPr>
          <w:rFonts w:cs="Arial"/>
          <w:szCs w:val="24"/>
        </w:rPr>
        <w:t xml:space="preserve">on </w:t>
      </w:r>
      <w:r w:rsidR="008D6AF7">
        <w:rPr>
          <w:rFonts w:cs="Arial"/>
          <w:szCs w:val="24"/>
        </w:rPr>
        <w:t>s</w:t>
      </w:r>
      <w:r w:rsidR="00802079">
        <w:rPr>
          <w:rFonts w:cs="Arial"/>
          <w:szCs w:val="24"/>
        </w:rPr>
        <w:t xml:space="preserve">overeign </w:t>
      </w:r>
      <w:r w:rsidR="008D6AF7">
        <w:rPr>
          <w:rFonts w:cs="Arial"/>
          <w:szCs w:val="24"/>
        </w:rPr>
        <w:t>a</w:t>
      </w:r>
      <w:r w:rsidR="00802079">
        <w:rPr>
          <w:rFonts w:cs="Arial"/>
          <w:szCs w:val="24"/>
        </w:rPr>
        <w:t xml:space="preserve">nnuities </w:t>
      </w:r>
      <w:hyperlink r:id="rId9" w:history="1">
        <w:r w:rsidR="00D25820" w:rsidRPr="00D25820">
          <w:rPr>
            <w:rStyle w:val="Hyperlink"/>
            <w:rFonts w:cs="Arial"/>
            <w:szCs w:val="24"/>
          </w:rPr>
          <w:t>here</w:t>
        </w:r>
      </w:hyperlink>
      <w:r w:rsidR="00D25820">
        <w:rPr>
          <w:rFonts w:cs="Arial"/>
          <w:szCs w:val="24"/>
        </w:rPr>
        <w:t xml:space="preserve"> </w:t>
      </w:r>
      <w:r w:rsidRPr="00DE63D3">
        <w:rPr>
          <w:rFonts w:cs="Arial"/>
          <w:szCs w:val="24"/>
        </w:rPr>
        <w:t xml:space="preserve">and the </w:t>
      </w:r>
      <w:r w:rsidR="008D6AF7">
        <w:rPr>
          <w:rFonts w:cs="Arial"/>
          <w:szCs w:val="24"/>
        </w:rPr>
        <w:t>s</w:t>
      </w:r>
      <w:r w:rsidRPr="00DE63D3">
        <w:rPr>
          <w:rFonts w:cs="Arial"/>
          <w:szCs w:val="24"/>
        </w:rPr>
        <w:t xml:space="preserve">overeign </w:t>
      </w:r>
      <w:r w:rsidR="008D6AF7">
        <w:rPr>
          <w:rFonts w:cs="Arial"/>
          <w:szCs w:val="24"/>
        </w:rPr>
        <w:t>a</w:t>
      </w:r>
      <w:r w:rsidRPr="00DE63D3">
        <w:rPr>
          <w:rFonts w:cs="Arial"/>
          <w:szCs w:val="24"/>
        </w:rPr>
        <w:t>nnuity</w:t>
      </w:r>
      <w:r w:rsidR="00B02819">
        <w:rPr>
          <w:rFonts w:cs="Arial"/>
          <w:szCs w:val="24"/>
        </w:rPr>
        <w:t xml:space="preserve"> </w:t>
      </w:r>
      <w:r w:rsidR="008D6AF7">
        <w:rPr>
          <w:rFonts w:cs="Arial"/>
          <w:szCs w:val="24"/>
        </w:rPr>
        <w:t>a</w:t>
      </w:r>
      <w:r w:rsidRPr="00DE63D3">
        <w:rPr>
          <w:rFonts w:cs="Arial"/>
          <w:szCs w:val="24"/>
        </w:rPr>
        <w:t xml:space="preserve">pplication </w:t>
      </w:r>
      <w:r w:rsidR="008D6AF7">
        <w:rPr>
          <w:rFonts w:cs="Arial"/>
          <w:szCs w:val="24"/>
        </w:rPr>
        <w:t>f</w:t>
      </w:r>
      <w:r w:rsidRPr="00DE63D3">
        <w:rPr>
          <w:rFonts w:cs="Arial"/>
          <w:szCs w:val="24"/>
        </w:rPr>
        <w:t>orm</w:t>
      </w:r>
      <w:r w:rsidR="009A5780">
        <w:rPr>
          <w:rFonts w:cs="Arial"/>
          <w:szCs w:val="24"/>
        </w:rPr>
        <w:t xml:space="preserve"> </w:t>
      </w:r>
      <w:hyperlink r:id="rId10" w:history="1">
        <w:r w:rsidR="009A5780" w:rsidRPr="009A5780">
          <w:rPr>
            <w:rStyle w:val="Hyperlink"/>
            <w:rFonts w:cs="Arial"/>
            <w:szCs w:val="24"/>
          </w:rPr>
          <w:t>here</w:t>
        </w:r>
      </w:hyperlink>
      <w:r w:rsidR="009A5780">
        <w:rPr>
          <w:rFonts w:cs="Arial"/>
          <w:szCs w:val="24"/>
        </w:rPr>
        <w:t>.</w:t>
      </w:r>
      <w:r w:rsidR="00D25820">
        <w:rPr>
          <w:rFonts w:cs="Arial"/>
          <w:szCs w:val="24"/>
        </w:rPr>
        <w:t xml:space="preserve"> </w:t>
      </w:r>
    </w:p>
    <w:sectPr w:rsidR="001B5B83" w:rsidRPr="00DE63D3" w:rsidSect="00C32DEF">
      <w:headerReference w:type="default" r:id="rId11"/>
      <w:footerReference w:type="default" r:id="rId12"/>
      <w:headerReference w:type="first" r:id="rId13"/>
      <w:footerReference w:type="first" r:id="rId14"/>
      <w:endnotePr>
        <w:numFmt w:val="decimal"/>
      </w:endnotePr>
      <w:type w:val="continuous"/>
      <w:pgSz w:w="11906" w:h="16838" w:code="9"/>
      <w:pgMar w:top="1440" w:right="1440" w:bottom="1440" w:left="1440" w:header="720"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7BE3" w14:textId="77777777" w:rsidR="00D25820" w:rsidRDefault="00D25820" w:rsidP="00FF0F75">
      <w:r>
        <w:separator/>
      </w:r>
    </w:p>
  </w:endnote>
  <w:endnote w:type="continuationSeparator" w:id="0">
    <w:p w14:paraId="1E6BFC4E" w14:textId="77777777" w:rsidR="00D25820" w:rsidRPr="000B495E" w:rsidRDefault="00D25820" w:rsidP="000B495E">
      <w:r>
        <w:separator/>
      </w:r>
    </w:p>
  </w:endnote>
  <w:endnote w:type="continuationNotice" w:id="1">
    <w:p w14:paraId="31EACC19" w14:textId="77777777" w:rsidR="00D25820" w:rsidRDefault="00D25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891196"/>
      <w:docPartObj>
        <w:docPartGallery w:val="Page Numbers (Bottom of Page)"/>
        <w:docPartUnique/>
      </w:docPartObj>
    </w:sdtPr>
    <w:sdtEndPr/>
    <w:sdtContent>
      <w:sdt>
        <w:sdtPr>
          <w:rPr>
            <w:sz w:val="18"/>
            <w:szCs w:val="18"/>
          </w:rPr>
          <w:id w:val="98381352"/>
          <w:docPartObj>
            <w:docPartGallery w:val="Page Numbers (Top of Page)"/>
            <w:docPartUnique/>
          </w:docPartObj>
        </w:sdtPr>
        <w:sdtEndPr/>
        <w:sdtContent>
          <w:p w14:paraId="22287127" w14:textId="5B4FFC43" w:rsidR="00D25820" w:rsidRPr="00F30D6E" w:rsidRDefault="00D25820" w:rsidP="00F30D6E">
            <w:pPr>
              <w:pStyle w:val="Footer"/>
              <w:jc w:val="center"/>
              <w:rPr>
                <w:sz w:val="18"/>
                <w:szCs w:val="18"/>
              </w:rPr>
            </w:pPr>
            <w:r w:rsidRPr="00616A69">
              <w:rPr>
                <w:sz w:val="20"/>
                <w:szCs w:val="20"/>
              </w:rPr>
              <w:t xml:space="preserve">Page </w:t>
            </w:r>
            <w:r w:rsidRPr="00616A69">
              <w:rPr>
                <w:b/>
                <w:sz w:val="20"/>
                <w:szCs w:val="20"/>
              </w:rPr>
              <w:fldChar w:fldCharType="begin"/>
            </w:r>
            <w:r w:rsidRPr="00616A69">
              <w:rPr>
                <w:b/>
                <w:sz w:val="20"/>
                <w:szCs w:val="20"/>
              </w:rPr>
              <w:instrText xml:space="preserve"> PAGE </w:instrText>
            </w:r>
            <w:r w:rsidRPr="00616A69">
              <w:rPr>
                <w:b/>
                <w:sz w:val="20"/>
                <w:szCs w:val="20"/>
              </w:rPr>
              <w:fldChar w:fldCharType="separate"/>
            </w:r>
            <w:r w:rsidR="00A500BC">
              <w:rPr>
                <w:b/>
                <w:noProof/>
                <w:sz w:val="20"/>
                <w:szCs w:val="20"/>
              </w:rPr>
              <w:t>2</w:t>
            </w:r>
            <w:r w:rsidRPr="00616A69">
              <w:rPr>
                <w:b/>
                <w:sz w:val="20"/>
                <w:szCs w:val="20"/>
              </w:rPr>
              <w:fldChar w:fldCharType="end"/>
            </w:r>
            <w:r w:rsidRPr="00616A69">
              <w:rPr>
                <w:sz w:val="20"/>
                <w:szCs w:val="20"/>
              </w:rPr>
              <w:t xml:space="preserve"> of </w:t>
            </w:r>
            <w:r w:rsidRPr="00616A69">
              <w:rPr>
                <w:b/>
                <w:sz w:val="20"/>
                <w:szCs w:val="20"/>
              </w:rPr>
              <w:fldChar w:fldCharType="begin"/>
            </w:r>
            <w:r w:rsidRPr="00616A69">
              <w:rPr>
                <w:b/>
                <w:sz w:val="20"/>
                <w:szCs w:val="20"/>
              </w:rPr>
              <w:instrText xml:space="preserve"> NUMPAGES  </w:instrText>
            </w:r>
            <w:r w:rsidRPr="00616A69">
              <w:rPr>
                <w:b/>
                <w:sz w:val="20"/>
                <w:szCs w:val="20"/>
              </w:rPr>
              <w:fldChar w:fldCharType="separate"/>
            </w:r>
            <w:r w:rsidR="00A500BC">
              <w:rPr>
                <w:b/>
                <w:noProof/>
                <w:sz w:val="20"/>
                <w:szCs w:val="20"/>
              </w:rPr>
              <w:t>14</w:t>
            </w:r>
            <w:r w:rsidRPr="00616A69">
              <w:rPr>
                <w:b/>
                <w:sz w:val="20"/>
                <w:szCs w:val="20"/>
              </w:rPr>
              <w:fldChar w:fldCharType="end"/>
            </w:r>
          </w:p>
        </w:sdtContent>
      </w:sdt>
    </w:sdtContent>
  </w:sdt>
  <w:p w14:paraId="0489B352" w14:textId="77777777" w:rsidR="00D25820" w:rsidRPr="00A02A48" w:rsidRDefault="00D258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253A" w14:textId="39065317" w:rsidR="00175DBC" w:rsidRPr="00175DBC" w:rsidRDefault="00175DBC" w:rsidP="00175DBC">
    <w:pPr>
      <w:pStyle w:val="Footer"/>
      <w:ind w:left="0" w:firstLine="0"/>
      <w:jc w:val="right"/>
      <w:rPr>
        <w:sz w:val="20"/>
        <w:szCs w:val="20"/>
      </w:rPr>
    </w:pPr>
    <w:r w:rsidRPr="00175DBC">
      <w:rPr>
        <w:sz w:val="20"/>
        <w:szCs w:val="20"/>
      </w:rPr>
      <w:t>Date published: January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3D5E" w14:textId="77777777" w:rsidR="00D25820" w:rsidRDefault="00D25820" w:rsidP="00FF0F75">
      <w:r>
        <w:separator/>
      </w:r>
    </w:p>
  </w:footnote>
  <w:footnote w:type="continuationSeparator" w:id="0">
    <w:p w14:paraId="267BEAFA" w14:textId="77777777" w:rsidR="00D25820" w:rsidRPr="000B495E" w:rsidRDefault="00D25820" w:rsidP="000B495E">
      <w:r>
        <w:separator/>
      </w:r>
    </w:p>
  </w:footnote>
  <w:footnote w:type="continuationNotice" w:id="1">
    <w:p w14:paraId="3C31DC63" w14:textId="77777777" w:rsidR="00D25820" w:rsidRDefault="00D25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4377" w14:textId="47CC31CE" w:rsidR="00981B28" w:rsidRDefault="00D70D68" w:rsidP="00981B28">
    <w:pPr>
      <w:pStyle w:val="Header"/>
      <w:jc w:val="center"/>
    </w:pPr>
    <w:r>
      <w:rPr>
        <w:noProof/>
        <w:lang w:val="en-GB" w:eastAsia="en-GB"/>
      </w:rPr>
      <w:drawing>
        <wp:inline distT="0" distB="0" distL="0" distR="0" wp14:anchorId="7F9F9781" wp14:editId="288430BE">
          <wp:extent cx="16192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0381945D" w14:textId="77777777" w:rsidR="00981B28" w:rsidRPr="00981B28" w:rsidRDefault="00981B28" w:rsidP="00981B28">
    <w:pPr>
      <w:pStyle w:val="Header"/>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DB97" w14:textId="097540C0" w:rsidR="00616A69" w:rsidRDefault="00D70D68" w:rsidP="00616A69">
    <w:pPr>
      <w:pStyle w:val="Header"/>
      <w:jc w:val="center"/>
    </w:pPr>
    <w:r>
      <w:rPr>
        <w:noProof/>
        <w:lang w:val="en-GB" w:eastAsia="en-GB"/>
      </w:rPr>
      <w:drawing>
        <wp:inline distT="0" distB="0" distL="0" distR="0" wp14:anchorId="22E2F480" wp14:editId="77CA8EAA">
          <wp:extent cx="1619250" cy="5429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7241B062" w14:textId="77777777" w:rsidR="00D70D68" w:rsidRDefault="00D70D68" w:rsidP="00616A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0D8"/>
    <w:multiLevelType w:val="hybridMultilevel"/>
    <w:tmpl w:val="2AC8B4CC"/>
    <w:lvl w:ilvl="0" w:tplc="F9024E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77632"/>
    <w:multiLevelType w:val="hybridMultilevel"/>
    <w:tmpl w:val="5FF0EB2C"/>
    <w:lvl w:ilvl="0" w:tplc="9160ADF6">
      <w:start w:val="1"/>
      <w:numFmt w:val="lowerLetter"/>
      <w:pStyle w:val="Stylea"/>
      <w:lvlText w:val="(%1)"/>
      <w:lvlJc w:val="left"/>
      <w:pPr>
        <w:ind w:left="1644" w:hanging="924"/>
      </w:pPr>
      <w:rPr>
        <w:rFonts w:ascii="Arial" w:hAnsi="Arial" w:hint="default"/>
        <w:b w:val="0"/>
        <w:i w:val="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5A77E0"/>
    <w:multiLevelType w:val="hybridMultilevel"/>
    <w:tmpl w:val="D9AAD186"/>
    <w:lvl w:ilvl="0" w:tplc="6CFEA672">
      <w:start w:val="1"/>
      <w:numFmt w:val="decimal"/>
      <w:pStyle w:val="Style1"/>
      <w:lvlText w:val="(%1)"/>
      <w:lvlJc w:val="left"/>
      <w:pPr>
        <w:ind w:left="720" w:hanging="72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 w15:restartNumberingAfterBreak="0">
    <w:nsid w:val="180958FC"/>
    <w:multiLevelType w:val="hybridMultilevel"/>
    <w:tmpl w:val="1794D6F8"/>
    <w:lvl w:ilvl="0" w:tplc="04EADD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552CB8"/>
    <w:multiLevelType w:val="hybridMultilevel"/>
    <w:tmpl w:val="76C86408"/>
    <w:lvl w:ilvl="0" w:tplc="31D63DF6">
      <w:start w:val="1"/>
      <w:numFmt w:val="lowerRoman"/>
      <w:pStyle w:val="Stylei"/>
      <w:lvlText w:val="(%1)"/>
      <w:lvlJc w:val="left"/>
      <w:pPr>
        <w:ind w:left="1644" w:hanging="924"/>
      </w:pPr>
      <w:rPr>
        <w:rFonts w:ascii="Arial" w:hAnsi="Arial" w:hint="default"/>
        <w:b w:val="0"/>
        <w:i w:val="0"/>
        <w:sz w:val="20"/>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5" w15:restartNumberingAfterBreak="0">
    <w:nsid w:val="19E058EC"/>
    <w:multiLevelType w:val="multilevel"/>
    <w:tmpl w:val="8C983FA0"/>
    <w:lvl w:ilvl="0">
      <w:start w:val="1"/>
      <w:numFmt w:val="decimal"/>
      <w:pStyle w:val="Schedule1"/>
      <w:suff w:val="space"/>
      <w:lvlText w:val="Schedule %1"/>
      <w:lvlJc w:val="left"/>
      <w:pPr>
        <w:ind w:left="0" w:firstLine="0"/>
      </w:pPr>
      <w:rPr>
        <w:rFonts w:ascii="Arial" w:hAnsi="Arial" w:hint="default"/>
        <w:b/>
        <w:i w:val="0"/>
        <w:caps/>
        <w:sz w:val="20"/>
      </w:rPr>
    </w:lvl>
    <w:lvl w:ilvl="1">
      <w:start w:val="1"/>
      <w:numFmt w:val="decimal"/>
      <w:pStyle w:val="Schedule2"/>
      <w:lvlText w:val="%2."/>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3"/>
      <w:lvlText w:val="%2.%3."/>
      <w:lvlJc w:val="left"/>
      <w:pPr>
        <w:ind w:left="720" w:hanging="720"/>
      </w:pPr>
      <w:rPr>
        <w:rFonts w:ascii="Arial" w:hAnsi="Arial" w:hint="default"/>
        <w:b w:val="0"/>
        <w:i w:val="0"/>
        <w:sz w:val="20"/>
      </w:rPr>
    </w:lvl>
    <w:lvl w:ilvl="3">
      <w:start w:val="1"/>
      <w:numFmt w:val="decimal"/>
      <w:pStyle w:val="Schedule4"/>
      <w:lvlText w:val="%2.%3.%4."/>
      <w:lvlJc w:val="left"/>
      <w:pPr>
        <w:tabs>
          <w:tab w:val="num" w:pos="1644"/>
        </w:tabs>
        <w:ind w:left="1644" w:hanging="924"/>
      </w:pPr>
      <w:rPr>
        <w:rFonts w:ascii="Arial" w:hAnsi="Arial" w:hint="default"/>
        <w:b w:val="0"/>
        <w:i w:val="0"/>
        <w:sz w:val="20"/>
      </w:rPr>
    </w:lvl>
    <w:lvl w:ilvl="4">
      <w:start w:val="1"/>
      <w:numFmt w:val="decimal"/>
      <w:pStyle w:val="Schedule5"/>
      <w:lvlText w:val="(%5)"/>
      <w:lvlJc w:val="left"/>
      <w:pPr>
        <w:tabs>
          <w:tab w:val="num" w:pos="2160"/>
        </w:tabs>
        <w:ind w:left="2160" w:hanging="516"/>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A21118C"/>
    <w:multiLevelType w:val="hybridMultilevel"/>
    <w:tmpl w:val="9744949E"/>
    <w:lvl w:ilvl="0" w:tplc="F9024E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C1231"/>
    <w:multiLevelType w:val="hybridMultilevel"/>
    <w:tmpl w:val="424821A6"/>
    <w:lvl w:ilvl="0" w:tplc="F9024E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F7458"/>
    <w:multiLevelType w:val="hybridMultilevel"/>
    <w:tmpl w:val="68062820"/>
    <w:lvl w:ilvl="0" w:tplc="FAB46C34">
      <w:start w:val="1"/>
      <w:numFmt w:val="decimal"/>
      <w:pStyle w:val="Heading4"/>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91C4CE8"/>
    <w:multiLevelType w:val="multilevel"/>
    <w:tmpl w:val="FFB44C00"/>
    <w:lvl w:ilvl="0">
      <w:start w:val="1"/>
      <w:numFmt w:val="decimal"/>
      <w:pStyle w:val="Appendix1"/>
      <w:suff w:val="space"/>
      <w:lvlText w:val="APPENDIX %1"/>
      <w:lvlJc w:val="center"/>
      <w:pPr>
        <w:ind w:left="0" w:firstLine="288"/>
      </w:pPr>
      <w:rPr>
        <w:rFonts w:ascii="Arial" w:hAnsi="Arial" w:hint="default"/>
        <w:b/>
        <w:i w:val="0"/>
        <w:caps/>
        <w:sz w:val="20"/>
      </w:rPr>
    </w:lvl>
    <w:lvl w:ilvl="1">
      <w:start w:val="1"/>
      <w:numFmt w:val="decimal"/>
      <w:pStyle w:val="Appendix2"/>
      <w:lvlText w:val="%2."/>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ndix3"/>
      <w:lvlText w:val="%2.%3."/>
      <w:lvlJc w:val="left"/>
      <w:pPr>
        <w:ind w:left="720" w:hanging="720"/>
      </w:pPr>
      <w:rPr>
        <w:rFonts w:ascii="Arial" w:hAnsi="Arial" w:hint="default"/>
        <w:b w:val="0"/>
        <w:i w:val="0"/>
        <w:sz w:val="20"/>
      </w:rPr>
    </w:lvl>
    <w:lvl w:ilvl="3">
      <w:start w:val="1"/>
      <w:numFmt w:val="decimal"/>
      <w:pStyle w:val="Appendix4"/>
      <w:lvlText w:val="%2.%3.%4."/>
      <w:lvlJc w:val="left"/>
      <w:pPr>
        <w:tabs>
          <w:tab w:val="num" w:pos="1644"/>
        </w:tabs>
        <w:ind w:left="1644" w:hanging="924"/>
      </w:pPr>
      <w:rPr>
        <w:rFonts w:ascii="Arial" w:hAnsi="Arial" w:hint="default"/>
        <w:b w:val="0"/>
        <w:i w:val="0"/>
        <w:sz w:val="20"/>
      </w:rPr>
    </w:lvl>
    <w:lvl w:ilvl="4">
      <w:start w:val="1"/>
      <w:numFmt w:val="decimal"/>
      <w:pStyle w:val="Appendix5"/>
      <w:lvlText w:val="(%5)"/>
      <w:lvlJc w:val="left"/>
      <w:pPr>
        <w:tabs>
          <w:tab w:val="num" w:pos="2160"/>
        </w:tabs>
        <w:ind w:left="2160" w:hanging="516"/>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A083445"/>
    <w:multiLevelType w:val="hybridMultilevel"/>
    <w:tmpl w:val="DEEEDC78"/>
    <w:lvl w:ilvl="0" w:tplc="04EADD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D307B5C"/>
    <w:multiLevelType w:val="hybridMultilevel"/>
    <w:tmpl w:val="31B07578"/>
    <w:lvl w:ilvl="0" w:tplc="C7603212">
      <w:start w:val="1"/>
      <w:numFmt w:val="upperLetter"/>
      <w:pStyle w:val="StyleA0"/>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D811101"/>
    <w:multiLevelType w:val="hybridMultilevel"/>
    <w:tmpl w:val="67C0C18C"/>
    <w:lvl w:ilvl="0" w:tplc="04EADD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2652909"/>
    <w:multiLevelType w:val="hybridMultilevel"/>
    <w:tmpl w:val="D758F472"/>
    <w:lvl w:ilvl="0" w:tplc="04EADD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3081A75"/>
    <w:multiLevelType w:val="hybridMultilevel"/>
    <w:tmpl w:val="81D4150E"/>
    <w:lvl w:ilvl="0" w:tplc="F9024E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25CB6"/>
    <w:multiLevelType w:val="hybridMultilevel"/>
    <w:tmpl w:val="187A751A"/>
    <w:lvl w:ilvl="0" w:tplc="04EADD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424B76"/>
    <w:multiLevelType w:val="multilevel"/>
    <w:tmpl w:val="68002572"/>
    <w:lvl w:ilvl="0">
      <w:start w:val="1"/>
      <w:numFmt w:val="decimal"/>
      <w:pStyle w:val="Heading1"/>
      <w:lvlText w:val="%1."/>
      <w:lvlJc w:val="left"/>
      <w:pPr>
        <w:ind w:left="360" w:hanging="360"/>
      </w:pPr>
      <w:rPr>
        <w:rFonts w:ascii="Arial" w:hAnsi="Arial" w:hint="default"/>
        <w:b/>
        <w:i w:val="0"/>
        <w:caps/>
        <w:sz w:val="28"/>
      </w:rPr>
    </w:lvl>
    <w:lvl w:ilvl="1">
      <w:start w:val="1"/>
      <w:numFmt w:val="decimal"/>
      <w:pStyle w:val="Heading2"/>
      <w:lvlText w:val="%1.%2."/>
      <w:lvlJc w:val="left"/>
      <w:pPr>
        <w:ind w:left="720" w:hanging="720"/>
      </w:pPr>
      <w:rPr>
        <w:rFonts w:ascii="Arial" w:hAnsi="Arial" w:hint="default"/>
        <w:b w:val="0"/>
        <w:i w:val="0"/>
        <w:sz w:val="20"/>
      </w:rPr>
    </w:lvl>
    <w:lvl w:ilvl="2">
      <w:start w:val="1"/>
      <w:numFmt w:val="decimal"/>
      <w:lvlText w:val="%1.%2.%3."/>
      <w:lvlJc w:val="left"/>
      <w:pPr>
        <w:tabs>
          <w:tab w:val="num" w:pos="1644"/>
        </w:tabs>
        <w:ind w:left="1644" w:hanging="924"/>
      </w:pPr>
      <w:rPr>
        <w:rFonts w:ascii="Arial" w:hAnsi="Arial" w:hint="default"/>
        <w:b w:val="0"/>
        <w:i w:val="0"/>
        <w:sz w:val="20"/>
      </w:rPr>
    </w:lvl>
    <w:lvl w:ilvl="3">
      <w:start w:val="1"/>
      <w:numFmt w:val="decimal"/>
      <w:lvlText w:val="%1.%2.%3.%4."/>
      <w:lvlJc w:val="left"/>
      <w:pPr>
        <w:tabs>
          <w:tab w:val="num" w:pos="2160"/>
        </w:tabs>
        <w:ind w:left="2160" w:hanging="516"/>
      </w:pPr>
      <w:rPr>
        <w:rFonts w:ascii="Arial" w:hAnsi="Arial" w:hint="default"/>
        <w:b w:val="0"/>
        <w:i w:val="0"/>
        <w:sz w:val="20"/>
      </w:rPr>
    </w:lvl>
    <w:lvl w:ilvl="4">
      <w:start w:val="1"/>
      <w:numFmt w:val="lowerLetter"/>
      <w:pStyle w:val="Heading5"/>
      <w:lvlText w:val="(%5)"/>
      <w:lvlJc w:val="left"/>
      <w:pPr>
        <w:tabs>
          <w:tab w:val="num" w:pos="2880"/>
        </w:tabs>
        <w:ind w:left="2880" w:hanging="720"/>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70E66906"/>
    <w:multiLevelType w:val="hybridMultilevel"/>
    <w:tmpl w:val="8EB2B69A"/>
    <w:lvl w:ilvl="0" w:tplc="04EADD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7567D29"/>
    <w:multiLevelType w:val="hybridMultilevel"/>
    <w:tmpl w:val="CE4CD8F4"/>
    <w:lvl w:ilvl="0" w:tplc="F9024E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0692879">
    <w:abstractNumId w:val="2"/>
  </w:num>
  <w:num w:numId="2" w16cid:durableId="1391920421">
    <w:abstractNumId w:val="4"/>
  </w:num>
  <w:num w:numId="3" w16cid:durableId="430323483">
    <w:abstractNumId w:val="11"/>
  </w:num>
  <w:num w:numId="4" w16cid:durableId="793673336">
    <w:abstractNumId w:val="16"/>
  </w:num>
  <w:num w:numId="5" w16cid:durableId="147789608">
    <w:abstractNumId w:val="5"/>
  </w:num>
  <w:num w:numId="6" w16cid:durableId="1924684735">
    <w:abstractNumId w:val="1"/>
  </w:num>
  <w:num w:numId="7" w16cid:durableId="1938056611">
    <w:abstractNumId w:val="9"/>
  </w:num>
  <w:num w:numId="8" w16cid:durableId="1678071378">
    <w:abstractNumId w:val="7"/>
  </w:num>
  <w:num w:numId="9" w16cid:durableId="319817250">
    <w:abstractNumId w:val="6"/>
  </w:num>
  <w:num w:numId="10" w16cid:durableId="918709246">
    <w:abstractNumId w:val="18"/>
  </w:num>
  <w:num w:numId="11" w16cid:durableId="1905989233">
    <w:abstractNumId w:val="14"/>
  </w:num>
  <w:num w:numId="12" w16cid:durableId="1226647331">
    <w:abstractNumId w:val="0"/>
  </w:num>
  <w:num w:numId="13" w16cid:durableId="853804532">
    <w:abstractNumId w:val="8"/>
  </w:num>
  <w:num w:numId="14" w16cid:durableId="242843035">
    <w:abstractNumId w:val="17"/>
  </w:num>
  <w:num w:numId="15" w16cid:durableId="80609558">
    <w:abstractNumId w:val="12"/>
  </w:num>
  <w:num w:numId="16" w16cid:durableId="292716153">
    <w:abstractNumId w:val="10"/>
  </w:num>
  <w:num w:numId="17" w16cid:durableId="1774587459">
    <w:abstractNumId w:val="13"/>
  </w:num>
  <w:num w:numId="18" w16cid:durableId="1019235399">
    <w:abstractNumId w:val="3"/>
  </w:num>
  <w:num w:numId="19" w16cid:durableId="172641535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239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C2"/>
    <w:rsid w:val="00011A53"/>
    <w:rsid w:val="000147D4"/>
    <w:rsid w:val="00031A67"/>
    <w:rsid w:val="00034E0D"/>
    <w:rsid w:val="00054C24"/>
    <w:rsid w:val="00057524"/>
    <w:rsid w:val="00074971"/>
    <w:rsid w:val="000815B8"/>
    <w:rsid w:val="000A1B51"/>
    <w:rsid w:val="000B0B91"/>
    <w:rsid w:val="000B495E"/>
    <w:rsid w:val="000B7FE0"/>
    <w:rsid w:val="000D343C"/>
    <w:rsid w:val="000E1B49"/>
    <w:rsid w:val="000E439D"/>
    <w:rsid w:val="000E760D"/>
    <w:rsid w:val="000F1DA3"/>
    <w:rsid w:val="000F48F4"/>
    <w:rsid w:val="00101443"/>
    <w:rsid w:val="001025A9"/>
    <w:rsid w:val="00103062"/>
    <w:rsid w:val="001073F5"/>
    <w:rsid w:val="0011607C"/>
    <w:rsid w:val="001220A4"/>
    <w:rsid w:val="00122F82"/>
    <w:rsid w:val="00127E98"/>
    <w:rsid w:val="00135515"/>
    <w:rsid w:val="00145C80"/>
    <w:rsid w:val="00152A7E"/>
    <w:rsid w:val="001640F8"/>
    <w:rsid w:val="0016747F"/>
    <w:rsid w:val="00173E55"/>
    <w:rsid w:val="00175DBC"/>
    <w:rsid w:val="00176C40"/>
    <w:rsid w:val="00185A32"/>
    <w:rsid w:val="001A0F8B"/>
    <w:rsid w:val="001A29D1"/>
    <w:rsid w:val="001A59DA"/>
    <w:rsid w:val="001B5B83"/>
    <w:rsid w:val="001D400A"/>
    <w:rsid w:val="001D4635"/>
    <w:rsid w:val="001E5880"/>
    <w:rsid w:val="001F221D"/>
    <w:rsid w:val="001F50D2"/>
    <w:rsid w:val="001F5A7F"/>
    <w:rsid w:val="00205A01"/>
    <w:rsid w:val="002140A1"/>
    <w:rsid w:val="00226A1B"/>
    <w:rsid w:val="00253098"/>
    <w:rsid w:val="00253EAD"/>
    <w:rsid w:val="00266A37"/>
    <w:rsid w:val="00270362"/>
    <w:rsid w:val="002777BC"/>
    <w:rsid w:val="00295D8F"/>
    <w:rsid w:val="002C752D"/>
    <w:rsid w:val="002E06DF"/>
    <w:rsid w:val="002E6192"/>
    <w:rsid w:val="002F22AD"/>
    <w:rsid w:val="003163E2"/>
    <w:rsid w:val="00323E31"/>
    <w:rsid w:val="00335F7F"/>
    <w:rsid w:val="00335FC1"/>
    <w:rsid w:val="00336435"/>
    <w:rsid w:val="003629D1"/>
    <w:rsid w:val="003634AB"/>
    <w:rsid w:val="00367975"/>
    <w:rsid w:val="00382E63"/>
    <w:rsid w:val="00382EB5"/>
    <w:rsid w:val="00382F81"/>
    <w:rsid w:val="003A2E11"/>
    <w:rsid w:val="003B01F6"/>
    <w:rsid w:val="003B113A"/>
    <w:rsid w:val="003B1C6A"/>
    <w:rsid w:val="003C4384"/>
    <w:rsid w:val="003D59DD"/>
    <w:rsid w:val="003E4776"/>
    <w:rsid w:val="003E5F8A"/>
    <w:rsid w:val="003E7833"/>
    <w:rsid w:val="003F6CC8"/>
    <w:rsid w:val="004074F5"/>
    <w:rsid w:val="004132A7"/>
    <w:rsid w:val="00415330"/>
    <w:rsid w:val="004278A9"/>
    <w:rsid w:val="0043221D"/>
    <w:rsid w:val="00452E89"/>
    <w:rsid w:val="00463447"/>
    <w:rsid w:val="004635CB"/>
    <w:rsid w:val="004726C2"/>
    <w:rsid w:val="00482024"/>
    <w:rsid w:val="004822F7"/>
    <w:rsid w:val="00486658"/>
    <w:rsid w:val="0049344A"/>
    <w:rsid w:val="004935D8"/>
    <w:rsid w:val="004A5677"/>
    <w:rsid w:val="004B0846"/>
    <w:rsid w:val="004B66D7"/>
    <w:rsid w:val="004F6E8D"/>
    <w:rsid w:val="0051003F"/>
    <w:rsid w:val="005212D2"/>
    <w:rsid w:val="005256B3"/>
    <w:rsid w:val="005517E5"/>
    <w:rsid w:val="0055378B"/>
    <w:rsid w:val="00563B39"/>
    <w:rsid w:val="00581C29"/>
    <w:rsid w:val="005824E1"/>
    <w:rsid w:val="0059229E"/>
    <w:rsid w:val="005B4EBE"/>
    <w:rsid w:val="005D69A8"/>
    <w:rsid w:val="005F36C5"/>
    <w:rsid w:val="0061487F"/>
    <w:rsid w:val="006155C0"/>
    <w:rsid w:val="00616A69"/>
    <w:rsid w:val="006233D9"/>
    <w:rsid w:val="00627FCC"/>
    <w:rsid w:val="00630D05"/>
    <w:rsid w:val="00645F12"/>
    <w:rsid w:val="00660BE7"/>
    <w:rsid w:val="00672BD6"/>
    <w:rsid w:val="00674209"/>
    <w:rsid w:val="00686398"/>
    <w:rsid w:val="006863CE"/>
    <w:rsid w:val="0068700E"/>
    <w:rsid w:val="006944E7"/>
    <w:rsid w:val="006A1422"/>
    <w:rsid w:val="006A4EF5"/>
    <w:rsid w:val="006A6AFD"/>
    <w:rsid w:val="006C584A"/>
    <w:rsid w:val="006D15A9"/>
    <w:rsid w:val="006E671F"/>
    <w:rsid w:val="006E760D"/>
    <w:rsid w:val="006F1304"/>
    <w:rsid w:val="006F405B"/>
    <w:rsid w:val="006F5500"/>
    <w:rsid w:val="00716BF8"/>
    <w:rsid w:val="00720533"/>
    <w:rsid w:val="00724B1C"/>
    <w:rsid w:val="007458AB"/>
    <w:rsid w:val="00750C56"/>
    <w:rsid w:val="00757AEB"/>
    <w:rsid w:val="00760A79"/>
    <w:rsid w:val="00764399"/>
    <w:rsid w:val="00772AF7"/>
    <w:rsid w:val="0077389F"/>
    <w:rsid w:val="007832BF"/>
    <w:rsid w:val="007839F6"/>
    <w:rsid w:val="00787B32"/>
    <w:rsid w:val="00794D56"/>
    <w:rsid w:val="00795409"/>
    <w:rsid w:val="007A223B"/>
    <w:rsid w:val="007B48EE"/>
    <w:rsid w:val="007C5949"/>
    <w:rsid w:val="007E40A9"/>
    <w:rsid w:val="007E4C52"/>
    <w:rsid w:val="00802079"/>
    <w:rsid w:val="00821AC3"/>
    <w:rsid w:val="00827475"/>
    <w:rsid w:val="00836191"/>
    <w:rsid w:val="008663DE"/>
    <w:rsid w:val="00873AFF"/>
    <w:rsid w:val="0088179E"/>
    <w:rsid w:val="00882614"/>
    <w:rsid w:val="008C1993"/>
    <w:rsid w:val="008C3125"/>
    <w:rsid w:val="008C5401"/>
    <w:rsid w:val="008C6DAE"/>
    <w:rsid w:val="008D6AF7"/>
    <w:rsid w:val="008E44AF"/>
    <w:rsid w:val="00902994"/>
    <w:rsid w:val="009121FA"/>
    <w:rsid w:val="00943CFA"/>
    <w:rsid w:val="0095070C"/>
    <w:rsid w:val="00952478"/>
    <w:rsid w:val="0095752C"/>
    <w:rsid w:val="009638EB"/>
    <w:rsid w:val="00981B28"/>
    <w:rsid w:val="00981BD2"/>
    <w:rsid w:val="009845EB"/>
    <w:rsid w:val="00990C6B"/>
    <w:rsid w:val="00993F95"/>
    <w:rsid w:val="00996F46"/>
    <w:rsid w:val="009A2257"/>
    <w:rsid w:val="009A3D2D"/>
    <w:rsid w:val="009A5780"/>
    <w:rsid w:val="009B5D7D"/>
    <w:rsid w:val="009B61E3"/>
    <w:rsid w:val="009C4C93"/>
    <w:rsid w:val="009C6A1F"/>
    <w:rsid w:val="009E6FA7"/>
    <w:rsid w:val="00A02A48"/>
    <w:rsid w:val="00A03B07"/>
    <w:rsid w:val="00A13BCC"/>
    <w:rsid w:val="00A27DF0"/>
    <w:rsid w:val="00A3611E"/>
    <w:rsid w:val="00A500BC"/>
    <w:rsid w:val="00A50218"/>
    <w:rsid w:val="00A57E0A"/>
    <w:rsid w:val="00A63ABD"/>
    <w:rsid w:val="00A642C2"/>
    <w:rsid w:val="00A71BA0"/>
    <w:rsid w:val="00A7235D"/>
    <w:rsid w:val="00AB640D"/>
    <w:rsid w:val="00AD17B2"/>
    <w:rsid w:val="00AF01D8"/>
    <w:rsid w:val="00B01553"/>
    <w:rsid w:val="00B02819"/>
    <w:rsid w:val="00B0385F"/>
    <w:rsid w:val="00B12261"/>
    <w:rsid w:val="00B27131"/>
    <w:rsid w:val="00B40C7E"/>
    <w:rsid w:val="00B43967"/>
    <w:rsid w:val="00B44373"/>
    <w:rsid w:val="00B46B40"/>
    <w:rsid w:val="00B529DD"/>
    <w:rsid w:val="00B570A2"/>
    <w:rsid w:val="00B72672"/>
    <w:rsid w:val="00B77447"/>
    <w:rsid w:val="00B805E5"/>
    <w:rsid w:val="00B85C77"/>
    <w:rsid w:val="00BB2778"/>
    <w:rsid w:val="00BF6E86"/>
    <w:rsid w:val="00C05E83"/>
    <w:rsid w:val="00C12C99"/>
    <w:rsid w:val="00C17AC5"/>
    <w:rsid w:val="00C20759"/>
    <w:rsid w:val="00C20F07"/>
    <w:rsid w:val="00C25F09"/>
    <w:rsid w:val="00C321DE"/>
    <w:rsid w:val="00C32DEF"/>
    <w:rsid w:val="00C36490"/>
    <w:rsid w:val="00C41CEA"/>
    <w:rsid w:val="00C45B08"/>
    <w:rsid w:val="00C50C39"/>
    <w:rsid w:val="00C56764"/>
    <w:rsid w:val="00C764A6"/>
    <w:rsid w:val="00C82960"/>
    <w:rsid w:val="00C9036E"/>
    <w:rsid w:val="00C94F1C"/>
    <w:rsid w:val="00CA0995"/>
    <w:rsid w:val="00CA2CE7"/>
    <w:rsid w:val="00CA5C97"/>
    <w:rsid w:val="00CB285E"/>
    <w:rsid w:val="00CB2ABA"/>
    <w:rsid w:val="00CB38DD"/>
    <w:rsid w:val="00CC6042"/>
    <w:rsid w:val="00CC7D80"/>
    <w:rsid w:val="00CD0CEC"/>
    <w:rsid w:val="00CE293B"/>
    <w:rsid w:val="00CE432C"/>
    <w:rsid w:val="00D0490F"/>
    <w:rsid w:val="00D176B1"/>
    <w:rsid w:val="00D23B31"/>
    <w:rsid w:val="00D25820"/>
    <w:rsid w:val="00D3782E"/>
    <w:rsid w:val="00D46E21"/>
    <w:rsid w:val="00D50E98"/>
    <w:rsid w:val="00D6610A"/>
    <w:rsid w:val="00D70D68"/>
    <w:rsid w:val="00D94F81"/>
    <w:rsid w:val="00DA1A53"/>
    <w:rsid w:val="00DB200B"/>
    <w:rsid w:val="00DD20F3"/>
    <w:rsid w:val="00DD26AC"/>
    <w:rsid w:val="00DE1CA8"/>
    <w:rsid w:val="00DE2967"/>
    <w:rsid w:val="00DE48B4"/>
    <w:rsid w:val="00DE63D3"/>
    <w:rsid w:val="00E06FA6"/>
    <w:rsid w:val="00E07CA4"/>
    <w:rsid w:val="00E16B32"/>
    <w:rsid w:val="00E354AF"/>
    <w:rsid w:val="00E74B44"/>
    <w:rsid w:val="00E77E10"/>
    <w:rsid w:val="00E84597"/>
    <w:rsid w:val="00E849F6"/>
    <w:rsid w:val="00E90DC7"/>
    <w:rsid w:val="00E9610A"/>
    <w:rsid w:val="00E97074"/>
    <w:rsid w:val="00EA3179"/>
    <w:rsid w:val="00EB1B6E"/>
    <w:rsid w:val="00ED20D8"/>
    <w:rsid w:val="00EF1BC2"/>
    <w:rsid w:val="00F01B0E"/>
    <w:rsid w:val="00F03AFA"/>
    <w:rsid w:val="00F156FB"/>
    <w:rsid w:val="00F1716F"/>
    <w:rsid w:val="00F25DF7"/>
    <w:rsid w:val="00F3007B"/>
    <w:rsid w:val="00F30D6E"/>
    <w:rsid w:val="00F56AF5"/>
    <w:rsid w:val="00F57D2A"/>
    <w:rsid w:val="00F61BE5"/>
    <w:rsid w:val="00F72348"/>
    <w:rsid w:val="00F86C8E"/>
    <w:rsid w:val="00FA23A8"/>
    <w:rsid w:val="00FD3337"/>
    <w:rsid w:val="00FD4373"/>
    <w:rsid w:val="00FD5CAE"/>
    <w:rsid w:val="00FE56C3"/>
    <w:rsid w:val="00FF0026"/>
    <w:rsid w:val="00FF0F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4EEE6C17"/>
  <w15:docId w15:val="{3E87BF99-C2C5-4986-A822-9D88F92A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IE" w:eastAsia="en-US" w:bidi="ar-SA"/>
      </w:rPr>
    </w:rPrDefault>
    <w:pPrDefault>
      <w:pPr>
        <w:spacing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9D1"/>
    <w:pPr>
      <w:jc w:val="left"/>
    </w:pPr>
    <w:rPr>
      <w:sz w:val="24"/>
    </w:rPr>
  </w:style>
  <w:style w:type="paragraph" w:styleId="Heading1">
    <w:name w:val="heading 1"/>
    <w:next w:val="L1Para"/>
    <w:link w:val="Heading1Char"/>
    <w:qFormat/>
    <w:rsid w:val="00686398"/>
    <w:pPr>
      <w:numPr>
        <w:numId w:val="4"/>
      </w:numPr>
      <w:tabs>
        <w:tab w:val="left" w:pos="567"/>
      </w:tabs>
      <w:ind w:left="567" w:hanging="567"/>
      <w:outlineLvl w:val="0"/>
    </w:pPr>
    <w:rPr>
      <w:rFonts w:eastAsiaTheme="majorEastAsia" w:cstheme="majorBidi"/>
      <w:b/>
      <w:bCs/>
    </w:rPr>
  </w:style>
  <w:style w:type="paragraph" w:styleId="Heading2">
    <w:name w:val="heading 2"/>
    <w:next w:val="L2Para"/>
    <w:link w:val="Heading2Char"/>
    <w:qFormat/>
    <w:rsid w:val="00A57E0A"/>
    <w:pPr>
      <w:numPr>
        <w:ilvl w:val="1"/>
        <w:numId w:val="4"/>
      </w:numPr>
      <w:outlineLvl w:val="1"/>
    </w:pPr>
    <w:rPr>
      <w:rFonts w:eastAsiaTheme="majorEastAsia" w:cstheme="majorBidi"/>
      <w:bCs/>
      <w:szCs w:val="26"/>
    </w:rPr>
  </w:style>
  <w:style w:type="paragraph" w:styleId="Heading3">
    <w:name w:val="heading 3"/>
    <w:next w:val="L3Para"/>
    <w:link w:val="Heading3Char"/>
    <w:qFormat/>
    <w:rsid w:val="001A29D1"/>
    <w:pPr>
      <w:ind w:left="0" w:firstLine="0"/>
      <w:outlineLvl w:val="2"/>
    </w:pPr>
    <w:rPr>
      <w:rFonts w:eastAsiaTheme="majorEastAsia" w:cstheme="majorBidi"/>
      <w:b/>
      <w:bCs/>
      <w:sz w:val="24"/>
    </w:rPr>
  </w:style>
  <w:style w:type="paragraph" w:styleId="Heading4">
    <w:name w:val="heading 4"/>
    <w:next w:val="L4Para"/>
    <w:link w:val="Heading4Char"/>
    <w:qFormat/>
    <w:rsid w:val="001A29D1"/>
    <w:pPr>
      <w:numPr>
        <w:numId w:val="13"/>
      </w:numPr>
      <w:jc w:val="left"/>
      <w:outlineLvl w:val="3"/>
    </w:pPr>
    <w:rPr>
      <w:rFonts w:eastAsiaTheme="majorEastAsia" w:cstheme="majorBidi"/>
      <w:b/>
      <w:bCs/>
      <w:iCs/>
      <w:sz w:val="24"/>
    </w:rPr>
  </w:style>
  <w:style w:type="paragraph" w:styleId="Heading5">
    <w:name w:val="heading 5"/>
    <w:next w:val="L5Para"/>
    <w:link w:val="Heading5Char"/>
    <w:qFormat/>
    <w:rsid w:val="00A57E0A"/>
    <w:pPr>
      <w:numPr>
        <w:ilvl w:val="4"/>
        <w:numId w:val="4"/>
      </w:numPr>
      <w:outlineLvl w:val="4"/>
    </w:pPr>
    <w:rPr>
      <w:rFonts w:eastAsiaTheme="majorEastAsia" w:cstheme="majorBidi"/>
    </w:rPr>
  </w:style>
  <w:style w:type="paragraph" w:styleId="Heading6">
    <w:name w:val="heading 6"/>
    <w:basedOn w:val="Normal"/>
    <w:next w:val="Normal"/>
    <w:link w:val="Heading6Char"/>
    <w:uiPriority w:val="10"/>
    <w:semiHidden/>
    <w:qFormat/>
    <w:rsid w:val="00D0490F"/>
    <w:pPr>
      <w:keepLines/>
      <w:outlineLvl w:val="5"/>
    </w:pPr>
    <w:rPr>
      <w:rFonts w:eastAsiaTheme="majorEastAsia" w:cstheme="majorBidi"/>
      <w:iCs/>
    </w:rPr>
  </w:style>
  <w:style w:type="paragraph" w:styleId="Heading7">
    <w:name w:val="heading 7"/>
    <w:basedOn w:val="Normal"/>
    <w:next w:val="Normal"/>
    <w:link w:val="Heading7Char"/>
    <w:uiPriority w:val="10"/>
    <w:semiHidden/>
    <w:qFormat/>
    <w:rsid w:val="00E74B44"/>
    <w:pPr>
      <w:keepLines/>
      <w:outlineLvl w:val="6"/>
    </w:pPr>
    <w:rPr>
      <w:rFonts w:eastAsiaTheme="majorEastAsia" w:cstheme="majorBidi"/>
      <w:iCs/>
    </w:rPr>
  </w:style>
  <w:style w:type="paragraph" w:styleId="Heading8">
    <w:name w:val="heading 8"/>
    <w:basedOn w:val="Normal"/>
    <w:next w:val="Normal"/>
    <w:link w:val="Heading8Char"/>
    <w:uiPriority w:val="10"/>
    <w:semiHidden/>
    <w:qFormat/>
    <w:rsid w:val="00E74B44"/>
    <w:pPr>
      <w:keepLines/>
      <w:outlineLvl w:val="7"/>
    </w:pPr>
    <w:rPr>
      <w:rFonts w:eastAsiaTheme="majorEastAsia" w:cstheme="majorBidi"/>
    </w:rPr>
  </w:style>
  <w:style w:type="paragraph" w:styleId="Heading9">
    <w:name w:val="heading 9"/>
    <w:basedOn w:val="Normal"/>
    <w:next w:val="Normal"/>
    <w:link w:val="Heading9Char"/>
    <w:uiPriority w:val="10"/>
    <w:semiHidden/>
    <w:qFormat/>
    <w:rsid w:val="00E74B44"/>
    <w:pPr>
      <w:keepLines/>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Para">
    <w:name w:val="L1Para"/>
    <w:next w:val="Normal"/>
    <w:uiPriority w:val="2"/>
    <w:qFormat/>
    <w:rsid w:val="00A57E0A"/>
    <w:pPr>
      <w:ind w:left="720"/>
    </w:pPr>
  </w:style>
  <w:style w:type="paragraph" w:customStyle="1" w:styleId="L2Para">
    <w:name w:val="L2Para"/>
    <w:next w:val="Normal"/>
    <w:uiPriority w:val="2"/>
    <w:qFormat/>
    <w:rsid w:val="00A57E0A"/>
    <w:pPr>
      <w:ind w:left="720"/>
    </w:pPr>
  </w:style>
  <w:style w:type="paragraph" w:customStyle="1" w:styleId="L3Para">
    <w:name w:val="L3Para"/>
    <w:next w:val="Normal"/>
    <w:uiPriority w:val="2"/>
    <w:qFormat/>
    <w:rsid w:val="00981BD2"/>
    <w:pPr>
      <w:ind w:left="1644"/>
    </w:pPr>
  </w:style>
  <w:style w:type="character" w:customStyle="1" w:styleId="Heading1Char">
    <w:name w:val="Heading 1 Char"/>
    <w:basedOn w:val="DefaultParagraphFont"/>
    <w:link w:val="Heading1"/>
    <w:rsid w:val="00686398"/>
    <w:rPr>
      <w:rFonts w:eastAsiaTheme="majorEastAsia" w:cstheme="majorBidi"/>
      <w:b/>
      <w:bCs/>
    </w:rPr>
  </w:style>
  <w:style w:type="character" w:customStyle="1" w:styleId="Heading2Char">
    <w:name w:val="Heading 2 Char"/>
    <w:basedOn w:val="DefaultParagraphFont"/>
    <w:link w:val="Heading2"/>
    <w:rsid w:val="00A57E0A"/>
    <w:rPr>
      <w:rFonts w:eastAsiaTheme="majorEastAsia" w:cstheme="majorBidi"/>
      <w:bCs/>
      <w:szCs w:val="26"/>
    </w:rPr>
  </w:style>
  <w:style w:type="paragraph" w:customStyle="1" w:styleId="L4Para">
    <w:name w:val="L4Para"/>
    <w:next w:val="Normal"/>
    <w:uiPriority w:val="2"/>
    <w:qFormat/>
    <w:rsid w:val="00A57E0A"/>
    <w:pPr>
      <w:ind w:left="2160"/>
    </w:pPr>
  </w:style>
  <w:style w:type="character" w:customStyle="1" w:styleId="Heading3Char">
    <w:name w:val="Heading 3 Char"/>
    <w:basedOn w:val="DefaultParagraphFont"/>
    <w:link w:val="Heading3"/>
    <w:rsid w:val="003E5F8A"/>
    <w:rPr>
      <w:rFonts w:eastAsiaTheme="majorEastAsia" w:cstheme="majorBidi"/>
      <w:b/>
      <w:bCs/>
      <w:sz w:val="24"/>
    </w:rPr>
  </w:style>
  <w:style w:type="character" w:customStyle="1" w:styleId="Heading4Char">
    <w:name w:val="Heading 4 Char"/>
    <w:basedOn w:val="DefaultParagraphFont"/>
    <w:link w:val="Heading4"/>
    <w:rsid w:val="001A29D1"/>
    <w:rPr>
      <w:rFonts w:eastAsiaTheme="majorEastAsia" w:cstheme="majorBidi"/>
      <w:b/>
      <w:bCs/>
      <w:iCs/>
      <w:sz w:val="24"/>
    </w:rPr>
  </w:style>
  <w:style w:type="character" w:customStyle="1" w:styleId="Heading5Char">
    <w:name w:val="Heading 5 Char"/>
    <w:basedOn w:val="DefaultParagraphFont"/>
    <w:link w:val="Heading5"/>
    <w:rsid w:val="00A57E0A"/>
    <w:rPr>
      <w:rFonts w:eastAsiaTheme="majorEastAsia" w:cstheme="majorBidi"/>
    </w:rPr>
  </w:style>
  <w:style w:type="character" w:customStyle="1" w:styleId="Heading6Char">
    <w:name w:val="Heading 6 Char"/>
    <w:basedOn w:val="DefaultParagraphFont"/>
    <w:link w:val="Heading6"/>
    <w:uiPriority w:val="10"/>
    <w:semiHidden/>
    <w:rsid w:val="00827475"/>
    <w:rPr>
      <w:rFonts w:eastAsiaTheme="majorEastAsia" w:cstheme="majorBidi"/>
      <w:iCs/>
    </w:rPr>
  </w:style>
  <w:style w:type="character" w:customStyle="1" w:styleId="Heading7Char">
    <w:name w:val="Heading 7 Char"/>
    <w:basedOn w:val="DefaultParagraphFont"/>
    <w:link w:val="Heading7"/>
    <w:uiPriority w:val="10"/>
    <w:semiHidden/>
    <w:rsid w:val="00827475"/>
    <w:rPr>
      <w:rFonts w:eastAsiaTheme="majorEastAsia" w:cstheme="majorBidi"/>
      <w:iCs/>
    </w:rPr>
  </w:style>
  <w:style w:type="character" w:customStyle="1" w:styleId="Heading8Char">
    <w:name w:val="Heading 8 Char"/>
    <w:basedOn w:val="DefaultParagraphFont"/>
    <w:link w:val="Heading8"/>
    <w:uiPriority w:val="10"/>
    <w:semiHidden/>
    <w:rsid w:val="00827475"/>
    <w:rPr>
      <w:rFonts w:eastAsiaTheme="majorEastAsia" w:cstheme="majorBidi"/>
    </w:rPr>
  </w:style>
  <w:style w:type="character" w:customStyle="1" w:styleId="Heading9Char">
    <w:name w:val="Heading 9 Char"/>
    <w:basedOn w:val="DefaultParagraphFont"/>
    <w:link w:val="Heading9"/>
    <w:uiPriority w:val="10"/>
    <w:semiHidden/>
    <w:rsid w:val="00827475"/>
    <w:rPr>
      <w:rFonts w:eastAsiaTheme="majorEastAsia" w:cstheme="majorBidi"/>
      <w:iCs/>
    </w:rPr>
  </w:style>
  <w:style w:type="paragraph" w:customStyle="1" w:styleId="L5Para">
    <w:name w:val="L5Para"/>
    <w:next w:val="Normal"/>
    <w:uiPriority w:val="2"/>
    <w:qFormat/>
    <w:rsid w:val="00A57E0A"/>
    <w:pPr>
      <w:ind w:left="2880"/>
    </w:pPr>
  </w:style>
  <w:style w:type="table" w:styleId="LightList-Accent1">
    <w:name w:val="Light List Accent 1"/>
    <w:basedOn w:val="TableNormal"/>
    <w:uiPriority w:val="61"/>
    <w:rsid w:val="00AF01D8"/>
    <w:pPr>
      <w:spacing w:line="240" w:lineRule="auto"/>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MediumShading2-Accent1">
    <w:name w:val="Medium Shading 2 Accent 1"/>
    <w:basedOn w:val="TableNormal"/>
    <w:uiPriority w:val="64"/>
    <w:rsid w:val="00AF01D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chedule1">
    <w:name w:val="Schedule 1"/>
    <w:next w:val="ScheduleName"/>
    <w:uiPriority w:val="5"/>
    <w:qFormat/>
    <w:rsid w:val="00E9610A"/>
    <w:pPr>
      <w:pageBreakBefore/>
      <w:numPr>
        <w:numId w:val="5"/>
      </w:numPr>
      <w:spacing w:before="480"/>
      <w:jc w:val="center"/>
      <w:outlineLvl w:val="0"/>
    </w:pPr>
    <w:rPr>
      <w:b/>
      <w:caps/>
    </w:rPr>
  </w:style>
  <w:style w:type="paragraph" w:customStyle="1" w:styleId="Style1">
    <w:name w:val="Style (1)"/>
    <w:uiPriority w:val="3"/>
    <w:qFormat/>
    <w:rsid w:val="00A57E0A"/>
    <w:pPr>
      <w:numPr>
        <w:numId w:val="1"/>
      </w:numPr>
    </w:pPr>
  </w:style>
  <w:style w:type="paragraph" w:customStyle="1" w:styleId="Stylei">
    <w:name w:val="Style (i)"/>
    <w:uiPriority w:val="3"/>
    <w:qFormat/>
    <w:rsid w:val="00A57E0A"/>
    <w:pPr>
      <w:numPr>
        <w:numId w:val="2"/>
      </w:numPr>
    </w:pPr>
  </w:style>
  <w:style w:type="paragraph" w:customStyle="1" w:styleId="StyleA0">
    <w:name w:val="Style A"/>
    <w:uiPriority w:val="3"/>
    <w:qFormat/>
    <w:rsid w:val="00A57E0A"/>
    <w:pPr>
      <w:numPr>
        <w:numId w:val="3"/>
      </w:numPr>
    </w:pPr>
  </w:style>
  <w:style w:type="table" w:styleId="TableGrid">
    <w:name w:val="Table Grid"/>
    <w:basedOn w:val="TableNormal"/>
    <w:uiPriority w:val="59"/>
    <w:rsid w:val="006944E7"/>
    <w:pPr>
      <w:spacing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rPr>
        <w:rFonts w:ascii="Arial" w:hAnsi="Arial"/>
        <w:b/>
        <w:color w:val="FFFFFF" w:themeColor="background1"/>
        <w:sz w:val="20"/>
      </w:rPr>
      <w:tblPr/>
      <w:tcPr>
        <w:shd w:val="clear" w:color="auto" w:fill="373ABE"/>
      </w:tcPr>
    </w:tblStylePr>
  </w:style>
  <w:style w:type="paragraph" w:styleId="ListParagraph">
    <w:name w:val="List Paragraph"/>
    <w:basedOn w:val="Normal"/>
    <w:uiPriority w:val="99"/>
    <w:semiHidden/>
    <w:qFormat/>
    <w:rsid w:val="00101443"/>
    <w:pPr>
      <w:ind w:left="720"/>
    </w:pPr>
  </w:style>
  <w:style w:type="paragraph" w:styleId="Header">
    <w:name w:val="header"/>
    <w:basedOn w:val="Normal"/>
    <w:link w:val="HeaderChar"/>
    <w:uiPriority w:val="99"/>
    <w:rsid w:val="00827475"/>
    <w:pPr>
      <w:tabs>
        <w:tab w:val="center" w:pos="4513"/>
        <w:tab w:val="right" w:pos="9026"/>
      </w:tabs>
    </w:pPr>
  </w:style>
  <w:style w:type="character" w:customStyle="1" w:styleId="HeaderChar">
    <w:name w:val="Header Char"/>
    <w:basedOn w:val="DefaultParagraphFont"/>
    <w:link w:val="Header"/>
    <w:uiPriority w:val="99"/>
    <w:rsid w:val="004726C2"/>
  </w:style>
  <w:style w:type="paragraph" w:styleId="Footer">
    <w:name w:val="footer"/>
    <w:basedOn w:val="Normal"/>
    <w:link w:val="FooterChar"/>
    <w:uiPriority w:val="99"/>
    <w:rsid w:val="00827475"/>
    <w:pPr>
      <w:tabs>
        <w:tab w:val="center" w:pos="4513"/>
        <w:tab w:val="right" w:pos="9026"/>
      </w:tabs>
    </w:pPr>
  </w:style>
  <w:style w:type="character" w:customStyle="1" w:styleId="FooterChar">
    <w:name w:val="Footer Char"/>
    <w:basedOn w:val="DefaultParagraphFont"/>
    <w:link w:val="Footer"/>
    <w:uiPriority w:val="99"/>
    <w:rsid w:val="008663DE"/>
  </w:style>
  <w:style w:type="paragraph" w:styleId="NoSpacing">
    <w:name w:val="No Spacing"/>
    <w:link w:val="NoSpacingChar"/>
    <w:uiPriority w:val="13"/>
    <w:semiHidden/>
    <w:qFormat/>
    <w:rsid w:val="00827475"/>
    <w:pPr>
      <w:spacing w:line="240" w:lineRule="auto"/>
      <w:jc w:val="left"/>
    </w:pPr>
    <w:rPr>
      <w:rFonts w:asciiTheme="minorHAnsi" w:eastAsiaTheme="minorEastAsia" w:hAnsiTheme="minorHAnsi"/>
      <w:sz w:val="22"/>
      <w:szCs w:val="22"/>
      <w:lang w:val="en-US" w:eastAsia="ja-JP"/>
    </w:rPr>
  </w:style>
  <w:style w:type="character" w:customStyle="1" w:styleId="NoSpacingChar">
    <w:name w:val="No Spacing Char"/>
    <w:basedOn w:val="DefaultParagraphFont"/>
    <w:link w:val="NoSpacing"/>
    <w:uiPriority w:val="13"/>
    <w:semiHidden/>
    <w:rsid w:val="00645F12"/>
    <w:rPr>
      <w:rFonts w:asciiTheme="minorHAnsi" w:eastAsiaTheme="minorEastAsia" w:hAnsiTheme="minorHAnsi"/>
      <w:sz w:val="22"/>
      <w:szCs w:val="22"/>
      <w:lang w:val="en-US" w:eastAsia="ja-JP"/>
    </w:rPr>
  </w:style>
  <w:style w:type="paragraph" w:styleId="BalloonText">
    <w:name w:val="Balloon Text"/>
    <w:basedOn w:val="Normal"/>
    <w:link w:val="BalloonTextChar"/>
    <w:uiPriority w:val="99"/>
    <w:semiHidden/>
    <w:rsid w:val="00827475"/>
    <w:rPr>
      <w:rFonts w:ascii="Tahoma" w:hAnsi="Tahoma" w:cs="Tahoma"/>
      <w:sz w:val="16"/>
      <w:szCs w:val="16"/>
    </w:rPr>
  </w:style>
  <w:style w:type="character" w:customStyle="1" w:styleId="BalloonTextChar">
    <w:name w:val="Balloon Text Char"/>
    <w:basedOn w:val="DefaultParagraphFont"/>
    <w:link w:val="BalloonText"/>
    <w:uiPriority w:val="99"/>
    <w:semiHidden/>
    <w:rsid w:val="008663DE"/>
    <w:rPr>
      <w:rFonts w:ascii="Tahoma" w:hAnsi="Tahoma" w:cs="Tahoma"/>
      <w:sz w:val="16"/>
      <w:szCs w:val="16"/>
    </w:rPr>
  </w:style>
  <w:style w:type="paragraph" w:styleId="FootnoteText">
    <w:name w:val="footnote text"/>
    <w:basedOn w:val="Normal"/>
    <w:link w:val="FootnoteTextChar"/>
    <w:uiPriority w:val="99"/>
    <w:semiHidden/>
    <w:rsid w:val="00E354AF"/>
    <w:pPr>
      <w:ind w:left="113" w:hanging="113"/>
    </w:pPr>
    <w:rPr>
      <w:i/>
      <w:sz w:val="16"/>
    </w:rPr>
  </w:style>
  <w:style w:type="character" w:customStyle="1" w:styleId="FootnoteTextChar">
    <w:name w:val="Footnote Text Char"/>
    <w:basedOn w:val="DefaultParagraphFont"/>
    <w:link w:val="FootnoteText"/>
    <w:uiPriority w:val="99"/>
    <w:semiHidden/>
    <w:rsid w:val="008663DE"/>
    <w:rPr>
      <w:i/>
      <w:sz w:val="16"/>
    </w:rPr>
  </w:style>
  <w:style w:type="character" w:styleId="FootnoteReference">
    <w:name w:val="footnote reference"/>
    <w:basedOn w:val="DefaultParagraphFont"/>
    <w:uiPriority w:val="99"/>
    <w:semiHidden/>
    <w:rsid w:val="00E9610A"/>
    <w:rPr>
      <w:rFonts w:ascii="Arial" w:hAnsi="Arial"/>
      <w:b/>
      <w:sz w:val="20"/>
      <w:vertAlign w:val="superscript"/>
    </w:rPr>
  </w:style>
  <w:style w:type="paragraph" w:styleId="EndnoteText">
    <w:name w:val="endnote text"/>
    <w:basedOn w:val="Normal"/>
    <w:link w:val="EndnoteTextChar"/>
    <w:uiPriority w:val="99"/>
    <w:semiHidden/>
    <w:rsid w:val="000B495E"/>
  </w:style>
  <w:style w:type="character" w:customStyle="1" w:styleId="EndnoteTextChar">
    <w:name w:val="Endnote Text Char"/>
    <w:basedOn w:val="DefaultParagraphFont"/>
    <w:link w:val="EndnoteText"/>
    <w:uiPriority w:val="99"/>
    <w:semiHidden/>
    <w:rsid w:val="008663DE"/>
  </w:style>
  <w:style w:type="character" w:styleId="EndnoteReference">
    <w:name w:val="endnote reference"/>
    <w:basedOn w:val="DefaultParagraphFont"/>
    <w:uiPriority w:val="99"/>
    <w:semiHidden/>
    <w:rsid w:val="000B495E"/>
    <w:rPr>
      <w:vertAlign w:val="superscript"/>
    </w:rPr>
  </w:style>
  <w:style w:type="paragraph" w:customStyle="1" w:styleId="Schedule2">
    <w:name w:val="Schedule 2"/>
    <w:next w:val="L1Para"/>
    <w:uiPriority w:val="6"/>
    <w:qFormat/>
    <w:rsid w:val="00A57E0A"/>
    <w:pPr>
      <w:numPr>
        <w:ilvl w:val="1"/>
        <w:numId w:val="5"/>
      </w:numPr>
      <w:outlineLvl w:val="1"/>
    </w:pPr>
  </w:style>
  <w:style w:type="paragraph" w:customStyle="1" w:styleId="Schedule3">
    <w:name w:val="Schedule 3"/>
    <w:next w:val="L2Para"/>
    <w:uiPriority w:val="6"/>
    <w:qFormat/>
    <w:rsid w:val="00A57E0A"/>
    <w:pPr>
      <w:numPr>
        <w:ilvl w:val="2"/>
        <w:numId w:val="5"/>
      </w:numPr>
      <w:outlineLvl w:val="2"/>
    </w:pPr>
  </w:style>
  <w:style w:type="paragraph" w:customStyle="1" w:styleId="Schedule4">
    <w:name w:val="Schedule 4"/>
    <w:next w:val="L3Para"/>
    <w:uiPriority w:val="6"/>
    <w:qFormat/>
    <w:rsid w:val="00A57E0A"/>
    <w:pPr>
      <w:numPr>
        <w:ilvl w:val="3"/>
        <w:numId w:val="5"/>
      </w:numPr>
      <w:outlineLvl w:val="3"/>
    </w:pPr>
  </w:style>
  <w:style w:type="paragraph" w:customStyle="1" w:styleId="Schedule5">
    <w:name w:val="Schedule 5"/>
    <w:next w:val="L4Para"/>
    <w:uiPriority w:val="6"/>
    <w:qFormat/>
    <w:rsid w:val="00A57E0A"/>
    <w:pPr>
      <w:numPr>
        <w:ilvl w:val="4"/>
        <w:numId w:val="5"/>
      </w:numPr>
      <w:outlineLvl w:val="4"/>
    </w:pPr>
  </w:style>
  <w:style w:type="paragraph" w:customStyle="1" w:styleId="ScheduleName">
    <w:name w:val="Schedule Name"/>
    <w:basedOn w:val="Normal"/>
    <w:next w:val="Normal"/>
    <w:uiPriority w:val="5"/>
    <w:qFormat/>
    <w:rsid w:val="0077389F"/>
    <w:pPr>
      <w:jc w:val="center"/>
    </w:pPr>
    <w:rPr>
      <w:b/>
      <w:lang w:val="en-GB"/>
    </w:rPr>
  </w:style>
  <w:style w:type="paragraph" w:styleId="TOC1">
    <w:name w:val="toc 1"/>
    <w:basedOn w:val="Normal"/>
    <w:next w:val="Normal"/>
    <w:autoRedefine/>
    <w:uiPriority w:val="39"/>
    <w:rsid w:val="008E44AF"/>
    <w:pPr>
      <w:tabs>
        <w:tab w:val="right" w:leader="dot" w:pos="9016"/>
      </w:tabs>
      <w:spacing w:after="240"/>
    </w:pPr>
  </w:style>
  <w:style w:type="character" w:styleId="Hyperlink">
    <w:name w:val="Hyperlink"/>
    <w:basedOn w:val="DefaultParagraphFont"/>
    <w:uiPriority w:val="99"/>
    <w:rsid w:val="00E354AF"/>
    <w:rPr>
      <w:color w:val="6B9F25" w:themeColor="hyperlink"/>
      <w:u w:val="single"/>
    </w:rPr>
  </w:style>
  <w:style w:type="paragraph" w:customStyle="1" w:styleId="SectionHeadings">
    <w:name w:val="SectionHeadings"/>
    <w:next w:val="Normal"/>
    <w:uiPriority w:val="6"/>
    <w:semiHidden/>
    <w:qFormat/>
    <w:rsid w:val="00E354AF"/>
    <w:pPr>
      <w:spacing w:before="480"/>
    </w:pPr>
  </w:style>
  <w:style w:type="paragraph" w:customStyle="1" w:styleId="Stylea">
    <w:name w:val="Style (a)"/>
    <w:uiPriority w:val="3"/>
    <w:qFormat/>
    <w:rsid w:val="00A57E0A"/>
    <w:pPr>
      <w:numPr>
        <w:numId w:val="6"/>
      </w:numPr>
    </w:pPr>
  </w:style>
  <w:style w:type="table" w:customStyle="1" w:styleId="ALGplaintable">
    <w:name w:val="ALG plain table"/>
    <w:basedOn w:val="TableNormal"/>
    <w:uiPriority w:val="99"/>
    <w:rsid w:val="00C94F1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PlaceholderText">
    <w:name w:val="Placeholder Text"/>
    <w:basedOn w:val="DefaultParagraphFont"/>
    <w:uiPriority w:val="99"/>
    <w:semiHidden/>
    <w:rsid w:val="002140A1"/>
    <w:rPr>
      <w:color w:val="808080"/>
    </w:rPr>
  </w:style>
  <w:style w:type="paragraph" w:styleId="Title">
    <w:name w:val="Title"/>
    <w:basedOn w:val="Normal"/>
    <w:next w:val="Normal"/>
    <w:link w:val="TitleChar"/>
    <w:uiPriority w:val="4"/>
    <w:qFormat/>
    <w:rsid w:val="00C50C39"/>
    <w:pPr>
      <w:spacing w:before="360"/>
      <w:contextualSpacing/>
      <w:jc w:val="center"/>
    </w:pPr>
    <w:rPr>
      <w:rFonts w:eastAsiaTheme="majorEastAsia" w:cstheme="majorBidi"/>
      <w:b/>
      <w:color w:val="252525" w:themeColor="text2" w:themeShade="BF"/>
      <w:spacing w:val="5"/>
      <w:kern w:val="28"/>
      <w:szCs w:val="52"/>
    </w:rPr>
  </w:style>
  <w:style w:type="character" w:customStyle="1" w:styleId="TitleChar">
    <w:name w:val="Title Char"/>
    <w:basedOn w:val="DefaultParagraphFont"/>
    <w:link w:val="Title"/>
    <w:uiPriority w:val="4"/>
    <w:rsid w:val="00E97074"/>
    <w:rPr>
      <w:rFonts w:eastAsiaTheme="majorEastAsia" w:cstheme="majorBidi"/>
      <w:b/>
      <w:color w:val="252525" w:themeColor="text2" w:themeShade="BF"/>
      <w:spacing w:val="5"/>
      <w:kern w:val="28"/>
      <w:szCs w:val="52"/>
    </w:rPr>
  </w:style>
  <w:style w:type="paragraph" w:customStyle="1" w:styleId="Appendix1">
    <w:name w:val="Appendix 1"/>
    <w:next w:val="AppendixName"/>
    <w:uiPriority w:val="7"/>
    <w:qFormat/>
    <w:rsid w:val="00990C6B"/>
    <w:pPr>
      <w:pageBreakBefore/>
      <w:numPr>
        <w:numId w:val="7"/>
      </w:numPr>
      <w:spacing w:before="480"/>
      <w:jc w:val="center"/>
      <w:outlineLvl w:val="0"/>
    </w:pPr>
    <w:rPr>
      <w:rFonts w:eastAsia="Times New Roman" w:cs="Times New Roman"/>
      <w:b/>
      <w:caps/>
    </w:rPr>
  </w:style>
  <w:style w:type="paragraph" w:customStyle="1" w:styleId="Appendix3">
    <w:name w:val="Appendix 3"/>
    <w:next w:val="L2Para"/>
    <w:uiPriority w:val="8"/>
    <w:qFormat/>
    <w:rsid w:val="00A57E0A"/>
    <w:pPr>
      <w:numPr>
        <w:ilvl w:val="2"/>
        <w:numId w:val="7"/>
      </w:numPr>
    </w:pPr>
  </w:style>
  <w:style w:type="paragraph" w:customStyle="1" w:styleId="Appendix2">
    <w:name w:val="Appendix 2"/>
    <w:next w:val="L1Para"/>
    <w:uiPriority w:val="8"/>
    <w:qFormat/>
    <w:rsid w:val="00A57E0A"/>
    <w:pPr>
      <w:numPr>
        <w:ilvl w:val="1"/>
        <w:numId w:val="7"/>
      </w:numPr>
    </w:pPr>
  </w:style>
  <w:style w:type="paragraph" w:customStyle="1" w:styleId="Appendix4">
    <w:name w:val="Appendix 4"/>
    <w:next w:val="L3Para"/>
    <w:uiPriority w:val="8"/>
    <w:qFormat/>
    <w:rsid w:val="00A57E0A"/>
    <w:pPr>
      <w:numPr>
        <w:ilvl w:val="3"/>
        <w:numId w:val="7"/>
      </w:numPr>
    </w:pPr>
  </w:style>
  <w:style w:type="paragraph" w:customStyle="1" w:styleId="Appendix5">
    <w:name w:val="Appendix 5"/>
    <w:next w:val="L4Para"/>
    <w:uiPriority w:val="8"/>
    <w:qFormat/>
    <w:rsid w:val="00A57E0A"/>
    <w:pPr>
      <w:numPr>
        <w:ilvl w:val="4"/>
        <w:numId w:val="7"/>
      </w:numPr>
    </w:pPr>
  </w:style>
  <w:style w:type="paragraph" w:customStyle="1" w:styleId="AppendixName">
    <w:name w:val="Appendix Name"/>
    <w:next w:val="Appendix2"/>
    <w:uiPriority w:val="7"/>
    <w:semiHidden/>
    <w:qFormat/>
    <w:rsid w:val="00E97074"/>
    <w:pPr>
      <w:jc w:val="center"/>
    </w:pPr>
    <w:rPr>
      <w:rFonts w:eastAsia="Times New Roman" w:cs="Times New Roman"/>
      <w:b/>
    </w:rPr>
  </w:style>
  <w:style w:type="paragraph" w:styleId="TOC3">
    <w:name w:val="toc 3"/>
    <w:basedOn w:val="Normal"/>
    <w:next w:val="Normal"/>
    <w:autoRedefine/>
    <w:uiPriority w:val="39"/>
    <w:unhideWhenUsed/>
    <w:rsid w:val="00581C29"/>
    <w:pPr>
      <w:spacing w:after="100"/>
      <w:ind w:left="400"/>
    </w:pPr>
  </w:style>
  <w:style w:type="paragraph" w:styleId="TOC2">
    <w:name w:val="toc 2"/>
    <w:basedOn w:val="Normal"/>
    <w:next w:val="Normal"/>
    <w:autoRedefine/>
    <w:uiPriority w:val="39"/>
    <w:unhideWhenUsed/>
    <w:rsid w:val="00581C29"/>
    <w:pPr>
      <w:spacing w:after="100"/>
      <w:ind w:left="200"/>
    </w:pPr>
  </w:style>
  <w:style w:type="character" w:styleId="CommentReference">
    <w:name w:val="annotation reference"/>
    <w:basedOn w:val="DefaultParagraphFont"/>
    <w:uiPriority w:val="99"/>
    <w:semiHidden/>
    <w:unhideWhenUsed/>
    <w:rsid w:val="00DE63D3"/>
    <w:rPr>
      <w:sz w:val="16"/>
      <w:szCs w:val="16"/>
    </w:rPr>
  </w:style>
  <w:style w:type="paragraph" w:styleId="CommentText">
    <w:name w:val="annotation text"/>
    <w:basedOn w:val="Normal"/>
    <w:link w:val="CommentTextChar"/>
    <w:uiPriority w:val="99"/>
    <w:unhideWhenUsed/>
    <w:rsid w:val="00DE63D3"/>
  </w:style>
  <w:style w:type="character" w:customStyle="1" w:styleId="CommentTextChar">
    <w:name w:val="Comment Text Char"/>
    <w:basedOn w:val="DefaultParagraphFont"/>
    <w:link w:val="CommentText"/>
    <w:uiPriority w:val="99"/>
    <w:rsid w:val="00DE63D3"/>
    <w:rPr>
      <w:rFonts w:eastAsia="Times New Roman" w:cs="Times New Roman"/>
    </w:rPr>
  </w:style>
  <w:style w:type="paragraph" w:styleId="CommentSubject">
    <w:name w:val="annotation subject"/>
    <w:basedOn w:val="CommentText"/>
    <w:next w:val="CommentText"/>
    <w:link w:val="CommentSubjectChar"/>
    <w:uiPriority w:val="99"/>
    <w:semiHidden/>
    <w:unhideWhenUsed/>
    <w:rsid w:val="00DE63D3"/>
    <w:rPr>
      <w:b/>
      <w:bCs/>
    </w:rPr>
  </w:style>
  <w:style w:type="character" w:customStyle="1" w:styleId="CommentSubjectChar">
    <w:name w:val="Comment Subject Char"/>
    <w:basedOn w:val="CommentTextChar"/>
    <w:link w:val="CommentSubject"/>
    <w:uiPriority w:val="99"/>
    <w:semiHidden/>
    <w:rsid w:val="00DE63D3"/>
    <w:rPr>
      <w:rFonts w:eastAsia="Times New Roman" w:cs="Times New Roman"/>
      <w:b/>
      <w:bCs/>
    </w:rPr>
  </w:style>
  <w:style w:type="paragraph" w:styleId="Revision">
    <w:name w:val="Revision"/>
    <w:hidden/>
    <w:uiPriority w:val="99"/>
    <w:semiHidden/>
    <w:rsid w:val="00B01553"/>
    <w:pPr>
      <w:spacing w:line="240" w:lineRule="auto"/>
      <w:jc w:val="left"/>
    </w:pPr>
    <w:rPr>
      <w:rFonts w:eastAsia="Times New Roman" w:cs="Times New Roman"/>
    </w:rPr>
  </w:style>
  <w:style w:type="character" w:customStyle="1" w:styleId="UnresolvedMention1">
    <w:name w:val="Unresolved Mention1"/>
    <w:basedOn w:val="DefaultParagraphFont"/>
    <w:uiPriority w:val="99"/>
    <w:semiHidden/>
    <w:unhideWhenUsed/>
    <w:rsid w:val="00B40C7E"/>
    <w:rPr>
      <w:color w:val="605E5C"/>
      <w:shd w:val="clear" w:color="auto" w:fill="E1DFDD"/>
    </w:rPr>
  </w:style>
  <w:style w:type="character" w:styleId="FollowedHyperlink">
    <w:name w:val="FollowedHyperlink"/>
    <w:basedOn w:val="DefaultParagraphFont"/>
    <w:uiPriority w:val="99"/>
    <w:semiHidden/>
    <w:unhideWhenUsed/>
    <w:rsid w:val="00B40C7E"/>
    <w:rPr>
      <w:color w:val="B26B02" w:themeColor="followedHyperlink"/>
      <w:u w:val="single"/>
    </w:rPr>
  </w:style>
  <w:style w:type="paragraph" w:styleId="TOCHeading">
    <w:name w:val="TOC Heading"/>
    <w:basedOn w:val="Heading1"/>
    <w:next w:val="Normal"/>
    <w:uiPriority w:val="39"/>
    <w:unhideWhenUsed/>
    <w:qFormat/>
    <w:rsid w:val="00C32DEF"/>
    <w:pPr>
      <w:keepNext/>
      <w:keepLines/>
      <w:numPr>
        <w:numId w:val="0"/>
      </w:numPr>
      <w:tabs>
        <w:tab w:val="clear" w:pos="567"/>
      </w:tabs>
      <w:spacing w:before="240" w:line="259" w:lineRule="auto"/>
      <w:jc w:val="left"/>
      <w:outlineLvl w:val="9"/>
    </w:pPr>
    <w:rPr>
      <w:rFonts w:asciiTheme="majorHAnsi" w:hAnsiTheme="majorHAnsi"/>
      <w:b w:val="0"/>
      <w:bCs w:val="0"/>
      <w:color w:val="B35E06" w:themeColor="accent1" w:themeShade="BF"/>
      <w:sz w:val="32"/>
      <w:szCs w:val="32"/>
      <w:lang w:val="en-US"/>
    </w:rPr>
  </w:style>
  <w:style w:type="character" w:customStyle="1" w:styleId="UnresolvedMention2">
    <w:name w:val="Unresolved Mention2"/>
    <w:basedOn w:val="DefaultParagraphFont"/>
    <w:uiPriority w:val="99"/>
    <w:semiHidden/>
    <w:unhideWhenUsed/>
    <w:rsid w:val="00D25820"/>
    <w:rPr>
      <w:color w:val="605E5C"/>
      <w:shd w:val="clear" w:color="auto" w:fill="E1DFDD"/>
    </w:rPr>
  </w:style>
  <w:style w:type="table" w:customStyle="1" w:styleId="TableGrid1">
    <w:name w:val="Table Grid1"/>
    <w:basedOn w:val="TableNormal"/>
    <w:next w:val="TableGrid"/>
    <w:uiPriority w:val="59"/>
    <w:rsid w:val="00981B28"/>
    <w:pPr>
      <w:spacing w:line="240" w:lineRule="auto"/>
      <w:ind w:left="0" w:firstLine="0"/>
      <w:jc w:val="left"/>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5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sionsauthority.ie/en/trustees_registered_administrators/sovereign_annuiti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ensionsauthority.ie/en/trustees_registered_administrators/sovereign_annuities/" TargetMode="External"/><Relationship Id="rId4" Type="http://schemas.openxmlformats.org/officeDocument/2006/relationships/settings" Target="settings.xml"/><Relationship Id="rId9" Type="http://schemas.openxmlformats.org/officeDocument/2006/relationships/hyperlink" Target="https://www.pensionsauthority.ie/en/trustees_registered_administrators/faq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DC6B8-54A6-47D8-9312-048A1ECB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3145</Words>
  <Characters>17930</Characters>
  <Application>Microsoft Office Word</Application>
  <DocSecurity>0</DocSecurity>
  <PresentationFormat/>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Aideen Bugler (Pensions Authority)</dc:creator>
  <cp:keywords/>
  <dc:description/>
  <cp:lastModifiedBy>Aideen Bugler (Pensions Authority)</cp:lastModifiedBy>
  <cp:revision>7</cp:revision>
  <dcterms:created xsi:type="dcterms:W3CDTF">2026-04-09T12:36:00Z</dcterms:created>
  <dcterms:modified xsi:type="dcterms:W3CDTF">2026-04-14T10:09:00Z</dcterms:modified>
</cp:coreProperties>
</file>