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E722" w14:textId="70EDDB71" w:rsidR="008B2657" w:rsidRPr="007F3577" w:rsidRDefault="008B2657"/>
    <w:p w14:paraId="700879E8" w14:textId="10399CDD" w:rsidR="002E014B" w:rsidRPr="007F3577" w:rsidRDefault="002E014B"/>
    <w:p w14:paraId="0D438D33" w14:textId="738C98DE" w:rsidR="002E014B" w:rsidRPr="007F3577" w:rsidRDefault="002E014B"/>
    <w:p w14:paraId="73D17774" w14:textId="45E09241" w:rsidR="002E014B" w:rsidRPr="007F3577" w:rsidRDefault="002E014B"/>
    <w:p w14:paraId="53579DDB" w14:textId="634FB705" w:rsidR="002E014B" w:rsidRPr="007F3577" w:rsidRDefault="002E014B"/>
    <w:p w14:paraId="042D1A34" w14:textId="5152F922" w:rsidR="002E014B" w:rsidRPr="007F3577" w:rsidRDefault="002E014B"/>
    <w:p w14:paraId="772C68B0" w14:textId="7DB911E2" w:rsidR="002E014B" w:rsidRPr="007F3577" w:rsidRDefault="002E014B"/>
    <w:p w14:paraId="3FF0054F" w14:textId="76088B6D" w:rsidR="002E014B" w:rsidRPr="007F3577" w:rsidRDefault="002E014B"/>
    <w:p w14:paraId="40D9CBBC" w14:textId="61F16164" w:rsidR="002E014B" w:rsidRPr="007F3577" w:rsidRDefault="002E014B"/>
    <w:p w14:paraId="04323603" w14:textId="154ECE29" w:rsidR="002E014B" w:rsidRPr="007F3577" w:rsidRDefault="002E014B"/>
    <w:p w14:paraId="0B47AFCC" w14:textId="582FE1BA" w:rsidR="002E014B" w:rsidRPr="007F3577" w:rsidRDefault="002E014B"/>
    <w:p w14:paraId="3FF37463" w14:textId="77777777" w:rsidR="002E014B" w:rsidRPr="007F3577" w:rsidRDefault="002E014B"/>
    <w:p w14:paraId="39A8ADCD" w14:textId="01104420" w:rsidR="002E014B" w:rsidRPr="007F3577" w:rsidRDefault="002E014B"/>
    <w:p w14:paraId="68122D41" w14:textId="6D59E781" w:rsidR="008925F5" w:rsidRPr="007F3577" w:rsidRDefault="008925F5"/>
    <w:p w14:paraId="2D13276A" w14:textId="77777777" w:rsidR="008925F5" w:rsidRPr="007F3577" w:rsidRDefault="008925F5"/>
    <w:p w14:paraId="5382198F" w14:textId="411B65A1" w:rsidR="002E014B" w:rsidRPr="007F3577" w:rsidRDefault="002E014B"/>
    <w:p w14:paraId="5316B3CB" w14:textId="28FC5893" w:rsidR="002E014B" w:rsidRPr="007F3577" w:rsidRDefault="002E014B"/>
    <w:p w14:paraId="73DED378" w14:textId="46639B27" w:rsidR="002E014B" w:rsidRPr="007F3577" w:rsidRDefault="002E014B"/>
    <w:p w14:paraId="76440B0B" w14:textId="2B68AA12" w:rsidR="002E014B" w:rsidRPr="007F3577" w:rsidRDefault="002E014B"/>
    <w:p w14:paraId="69513ECA" w14:textId="6CE2CBCF" w:rsidR="002E014B" w:rsidRPr="007F3577" w:rsidRDefault="002E014B"/>
    <w:p w14:paraId="53B1AAC6" w14:textId="77777777" w:rsidR="002E014B" w:rsidRPr="007F3577" w:rsidRDefault="002E014B"/>
    <w:p w14:paraId="2B4DAE17" w14:textId="77777777" w:rsidR="002E014B" w:rsidRPr="007F3577" w:rsidRDefault="002E014B" w:rsidP="002E014B">
      <w:pPr>
        <w:jc w:val="center"/>
        <w:rPr>
          <w:rFonts w:ascii="Arial" w:hAnsi="Arial" w:cs="Arial"/>
          <w:b/>
          <w:noProof/>
          <w:sz w:val="48"/>
          <w:szCs w:val="48"/>
          <w:lang w:eastAsia="en-IE"/>
        </w:rPr>
      </w:pPr>
      <w:r w:rsidRPr="007F3577">
        <w:rPr>
          <w:rFonts w:ascii="Arial" w:hAnsi="Arial" w:cs="Arial"/>
          <w:b/>
          <w:noProof/>
          <w:sz w:val="48"/>
          <w:szCs w:val="48"/>
          <w:lang w:eastAsia="en-IE"/>
        </w:rPr>
        <w:t xml:space="preserve">FAQs on the </w:t>
      </w:r>
    </w:p>
    <w:p w14:paraId="5E1C808B" w14:textId="77777777" w:rsidR="002E014B" w:rsidRPr="007F3577" w:rsidRDefault="002E014B" w:rsidP="002E014B">
      <w:pPr>
        <w:jc w:val="center"/>
        <w:rPr>
          <w:rFonts w:ascii="Arial" w:hAnsi="Arial" w:cs="Arial"/>
          <w:b/>
          <w:noProof/>
          <w:sz w:val="48"/>
          <w:szCs w:val="48"/>
          <w:lang w:eastAsia="en-IE"/>
        </w:rPr>
      </w:pPr>
      <w:r w:rsidRPr="007F3577">
        <w:rPr>
          <w:rFonts w:ascii="Arial" w:hAnsi="Arial" w:cs="Arial"/>
          <w:b/>
          <w:noProof/>
          <w:sz w:val="48"/>
          <w:szCs w:val="48"/>
          <w:lang w:eastAsia="en-IE"/>
        </w:rPr>
        <w:t xml:space="preserve">funding standard reserve </w:t>
      </w:r>
    </w:p>
    <w:p w14:paraId="067C4CAF" w14:textId="77777777" w:rsidR="002E014B" w:rsidRPr="007F3577" w:rsidRDefault="002E014B" w:rsidP="002E014B">
      <w:pPr>
        <w:jc w:val="center"/>
        <w:rPr>
          <w:rFonts w:ascii="Arial" w:hAnsi="Arial" w:cs="Arial"/>
          <w:b/>
          <w:noProof/>
          <w:sz w:val="24"/>
          <w:szCs w:val="24"/>
          <w:lang w:eastAsia="en-IE"/>
        </w:rPr>
      </w:pPr>
    </w:p>
    <w:p w14:paraId="69969689" w14:textId="77777777" w:rsidR="002E014B" w:rsidRPr="007F3577" w:rsidRDefault="002E014B" w:rsidP="002E014B">
      <w:pPr>
        <w:pStyle w:val="H1"/>
        <w:spacing w:before="0" w:after="0"/>
        <w:jc w:val="left"/>
        <w:rPr>
          <w:rFonts w:ascii="Arial" w:hAnsi="Arial" w:cs="Arial"/>
          <w:szCs w:val="24"/>
          <w:lang w:val="en-IE"/>
        </w:rPr>
      </w:pPr>
    </w:p>
    <w:p w14:paraId="5119F21D" w14:textId="77777777" w:rsidR="002E014B" w:rsidRPr="007F3577" w:rsidRDefault="002E014B" w:rsidP="002E014B">
      <w:pPr>
        <w:pStyle w:val="H1"/>
        <w:spacing w:before="0" w:after="0"/>
        <w:jc w:val="left"/>
        <w:rPr>
          <w:rFonts w:ascii="Arial" w:hAnsi="Arial" w:cs="Arial"/>
          <w:szCs w:val="24"/>
          <w:lang w:val="en-IE"/>
        </w:rPr>
      </w:pPr>
    </w:p>
    <w:p w14:paraId="6B6A3566" w14:textId="77777777" w:rsidR="002E014B" w:rsidRPr="007F3577" w:rsidRDefault="002E014B" w:rsidP="002E014B">
      <w:pPr>
        <w:pStyle w:val="H1"/>
        <w:spacing w:before="0" w:after="0"/>
        <w:jc w:val="left"/>
        <w:rPr>
          <w:rFonts w:ascii="Arial" w:hAnsi="Arial" w:cs="Arial"/>
          <w:szCs w:val="24"/>
          <w:lang w:val="en-IE"/>
        </w:rPr>
      </w:pPr>
    </w:p>
    <w:p w14:paraId="648F755A" w14:textId="77777777" w:rsidR="002E014B" w:rsidRPr="007F3577" w:rsidRDefault="002E014B" w:rsidP="002E014B">
      <w:pPr>
        <w:pStyle w:val="H1"/>
        <w:spacing w:before="0" w:after="0"/>
        <w:jc w:val="left"/>
        <w:rPr>
          <w:rFonts w:ascii="Arial" w:hAnsi="Arial" w:cs="Arial"/>
          <w:szCs w:val="24"/>
          <w:lang w:val="en-IE"/>
        </w:rPr>
      </w:pPr>
    </w:p>
    <w:p w14:paraId="6E95DBBA" w14:textId="77777777" w:rsidR="002E014B" w:rsidRPr="007F3577" w:rsidRDefault="002E014B" w:rsidP="002E014B">
      <w:pPr>
        <w:pStyle w:val="H1"/>
        <w:spacing w:before="0" w:after="0"/>
        <w:jc w:val="left"/>
        <w:rPr>
          <w:rFonts w:ascii="Arial" w:hAnsi="Arial" w:cs="Arial"/>
          <w:szCs w:val="24"/>
          <w:lang w:val="en-IE"/>
        </w:rPr>
      </w:pPr>
    </w:p>
    <w:p w14:paraId="5A1FC45F" w14:textId="11066332" w:rsidR="002E014B" w:rsidRPr="007F3577" w:rsidRDefault="002E014B" w:rsidP="002E014B">
      <w:pPr>
        <w:pStyle w:val="H1"/>
        <w:spacing w:before="0" w:after="0"/>
        <w:jc w:val="left"/>
        <w:rPr>
          <w:rFonts w:ascii="Arial" w:hAnsi="Arial" w:cs="Arial"/>
          <w:szCs w:val="24"/>
          <w:lang w:val="en-IE"/>
        </w:rPr>
      </w:pPr>
    </w:p>
    <w:p w14:paraId="3D183959" w14:textId="655CF069" w:rsidR="008925F5" w:rsidRPr="007F3577" w:rsidRDefault="008925F5" w:rsidP="002E014B">
      <w:pPr>
        <w:pStyle w:val="H1"/>
        <w:spacing w:before="0" w:after="0"/>
        <w:jc w:val="left"/>
        <w:rPr>
          <w:rFonts w:ascii="Arial" w:hAnsi="Arial" w:cs="Arial"/>
          <w:szCs w:val="24"/>
          <w:lang w:val="en-IE"/>
        </w:rPr>
      </w:pPr>
    </w:p>
    <w:p w14:paraId="397FC742" w14:textId="760C0404" w:rsidR="008925F5" w:rsidRPr="007F3577" w:rsidRDefault="008925F5" w:rsidP="002E014B">
      <w:pPr>
        <w:pStyle w:val="H1"/>
        <w:spacing w:before="0" w:after="0"/>
        <w:jc w:val="left"/>
        <w:rPr>
          <w:rFonts w:ascii="Arial" w:hAnsi="Arial" w:cs="Arial"/>
          <w:szCs w:val="24"/>
          <w:lang w:val="en-IE"/>
        </w:rPr>
      </w:pPr>
    </w:p>
    <w:p w14:paraId="460313E0" w14:textId="7F1E4D1E" w:rsidR="008925F5" w:rsidRPr="007F3577" w:rsidRDefault="008925F5" w:rsidP="002E014B">
      <w:pPr>
        <w:pStyle w:val="H1"/>
        <w:spacing w:before="0" w:after="0"/>
        <w:jc w:val="left"/>
        <w:rPr>
          <w:rFonts w:ascii="Arial" w:hAnsi="Arial" w:cs="Arial"/>
          <w:szCs w:val="24"/>
          <w:lang w:val="en-IE"/>
        </w:rPr>
      </w:pPr>
    </w:p>
    <w:p w14:paraId="48816272" w14:textId="26AA94A5" w:rsidR="008925F5" w:rsidRPr="007F3577" w:rsidRDefault="008925F5" w:rsidP="002E014B">
      <w:pPr>
        <w:pStyle w:val="H1"/>
        <w:spacing w:before="0" w:after="0"/>
        <w:jc w:val="left"/>
        <w:rPr>
          <w:rFonts w:ascii="Arial" w:hAnsi="Arial" w:cs="Arial"/>
          <w:szCs w:val="24"/>
          <w:lang w:val="en-IE"/>
        </w:rPr>
      </w:pPr>
    </w:p>
    <w:p w14:paraId="791540A0" w14:textId="77777777" w:rsidR="008925F5" w:rsidRPr="007F3577" w:rsidRDefault="008925F5" w:rsidP="002E014B">
      <w:pPr>
        <w:pStyle w:val="H1"/>
        <w:spacing w:before="0" w:after="0"/>
        <w:jc w:val="left"/>
        <w:rPr>
          <w:rFonts w:ascii="Arial" w:hAnsi="Arial" w:cs="Arial"/>
          <w:szCs w:val="24"/>
          <w:lang w:val="en-IE"/>
        </w:rPr>
      </w:pPr>
    </w:p>
    <w:p w14:paraId="0FBD54FE" w14:textId="77777777" w:rsidR="002E014B" w:rsidRPr="007F3577" w:rsidRDefault="002E014B" w:rsidP="002E014B">
      <w:pPr>
        <w:pStyle w:val="H1"/>
        <w:spacing w:before="0" w:after="0"/>
        <w:jc w:val="both"/>
        <w:rPr>
          <w:rFonts w:ascii="Arial" w:hAnsi="Arial" w:cs="Arial"/>
          <w:szCs w:val="24"/>
          <w:lang w:val="en-IE"/>
        </w:rPr>
      </w:pPr>
    </w:p>
    <w:p w14:paraId="6D725E00" w14:textId="77777777" w:rsidR="002E014B" w:rsidRPr="007F3577" w:rsidRDefault="002E014B" w:rsidP="002E014B">
      <w:pPr>
        <w:pStyle w:val="H1"/>
        <w:spacing w:before="0" w:after="0"/>
        <w:jc w:val="both"/>
        <w:rPr>
          <w:rFonts w:ascii="Arial" w:hAnsi="Arial" w:cs="Arial"/>
          <w:szCs w:val="24"/>
          <w:lang w:val="en-IE"/>
        </w:rPr>
      </w:pPr>
    </w:p>
    <w:p w14:paraId="578D1C03" w14:textId="77777777" w:rsidR="002E014B" w:rsidRPr="007F3577" w:rsidRDefault="002E014B" w:rsidP="002E014B">
      <w:pPr>
        <w:pStyle w:val="H1"/>
        <w:spacing w:before="0" w:after="0"/>
        <w:jc w:val="both"/>
        <w:rPr>
          <w:rFonts w:ascii="Arial" w:hAnsi="Arial" w:cs="Arial"/>
          <w:szCs w:val="24"/>
          <w:lang w:val="en-IE"/>
        </w:rPr>
      </w:pPr>
    </w:p>
    <w:p w14:paraId="5B787C39" w14:textId="77777777" w:rsidR="002E014B" w:rsidRPr="007F3577" w:rsidRDefault="002E014B" w:rsidP="002E014B">
      <w:pPr>
        <w:pStyle w:val="H1"/>
        <w:spacing w:before="0" w:after="0"/>
        <w:jc w:val="both"/>
        <w:rPr>
          <w:rFonts w:ascii="Arial" w:hAnsi="Arial" w:cs="Arial"/>
          <w:szCs w:val="24"/>
          <w:lang w:val="en-IE"/>
        </w:rPr>
      </w:pPr>
    </w:p>
    <w:tbl>
      <w:tblPr>
        <w:tblStyle w:val="TableGrid"/>
        <w:tblW w:w="0" w:type="auto"/>
        <w:tblLook w:val="04A0" w:firstRow="1" w:lastRow="0" w:firstColumn="1" w:lastColumn="0" w:noHBand="0" w:noVBand="1"/>
      </w:tblPr>
      <w:tblGrid>
        <w:gridCol w:w="8996"/>
      </w:tblGrid>
      <w:tr w:rsidR="002E014B" w:rsidRPr="007F3577" w14:paraId="200F3E49" w14:textId="77777777" w:rsidTr="00AB4D40">
        <w:tc>
          <w:tcPr>
            <w:tcW w:w="9350" w:type="dxa"/>
            <w:tcBorders>
              <w:top w:val="single" w:sz="12" w:space="0" w:color="auto"/>
              <w:left w:val="single" w:sz="12" w:space="0" w:color="auto"/>
              <w:bottom w:val="single" w:sz="12" w:space="0" w:color="auto"/>
              <w:right w:val="single" w:sz="12" w:space="0" w:color="auto"/>
            </w:tcBorders>
          </w:tcPr>
          <w:p w14:paraId="38428E71" w14:textId="77777777" w:rsidR="002E014B" w:rsidRPr="007F3577" w:rsidRDefault="002E014B" w:rsidP="00AB4D40">
            <w:pPr>
              <w:pStyle w:val="H1"/>
              <w:spacing w:before="0" w:after="0"/>
              <w:jc w:val="both"/>
              <w:rPr>
                <w:rFonts w:ascii="Arial" w:hAnsi="Arial" w:cs="Arial"/>
                <w:szCs w:val="24"/>
                <w:lang w:val="en-IE"/>
              </w:rPr>
            </w:pPr>
          </w:p>
          <w:p w14:paraId="6C5F68EE" w14:textId="77777777" w:rsidR="002E014B" w:rsidRPr="007F3577" w:rsidRDefault="002E014B" w:rsidP="00AB4D40">
            <w:pPr>
              <w:spacing w:line="276" w:lineRule="auto"/>
              <w:ind w:left="164" w:right="169"/>
              <w:rPr>
                <w:rFonts w:ascii="Arial" w:hAnsi="Arial" w:cs="Arial"/>
                <w:b/>
                <w:iCs/>
                <w:sz w:val="24"/>
                <w:szCs w:val="24"/>
              </w:rPr>
            </w:pPr>
            <w:r w:rsidRPr="007F3577">
              <w:rPr>
                <w:rFonts w:ascii="Arial" w:hAnsi="Arial" w:cs="Arial"/>
                <w:b/>
                <w:iCs/>
                <w:sz w:val="24"/>
                <w:szCs w:val="24"/>
              </w:rPr>
              <w:t>Disclaimer</w:t>
            </w:r>
          </w:p>
          <w:p w14:paraId="2349512C" w14:textId="77777777" w:rsidR="002E014B" w:rsidRPr="007F3577" w:rsidRDefault="002E014B" w:rsidP="00AB4D40">
            <w:pPr>
              <w:spacing w:line="276" w:lineRule="auto"/>
              <w:ind w:left="164" w:right="169"/>
              <w:rPr>
                <w:rFonts w:ascii="Arial" w:hAnsi="Arial" w:cs="Arial"/>
                <w:iCs/>
                <w:sz w:val="24"/>
                <w:szCs w:val="24"/>
              </w:rPr>
            </w:pPr>
          </w:p>
          <w:p w14:paraId="4EBBCF3D" w14:textId="77777777" w:rsidR="002E014B" w:rsidRPr="007F3577" w:rsidRDefault="002E014B" w:rsidP="00AB4D40">
            <w:pPr>
              <w:spacing w:line="276" w:lineRule="auto"/>
              <w:ind w:left="164" w:right="169"/>
              <w:jc w:val="both"/>
              <w:rPr>
                <w:rFonts w:ascii="Arial" w:hAnsi="Arial" w:cs="Arial"/>
                <w:sz w:val="24"/>
                <w:szCs w:val="24"/>
              </w:rPr>
            </w:pPr>
            <w:r w:rsidRPr="007F3577">
              <w:rPr>
                <w:rFonts w:ascii="Arial" w:hAnsi="Arial" w:cs="Arial"/>
                <w:iCs/>
                <w:sz w:val="24"/>
                <w:szCs w:val="24"/>
              </w:rPr>
              <w:t xml:space="preserve">The Pensions Authority have made every effort to ensure that this document is correct. However, no liability whatsoever is accepted by the Pensions Authority, its servants or agents for any errors or omissions in the information contained in this document or for any loss occasioned to any person acting or refraining from acting </w:t>
            </w:r>
            <w:proofErr w:type="gramStart"/>
            <w:r w:rsidRPr="007F3577">
              <w:rPr>
                <w:rFonts w:ascii="Arial" w:hAnsi="Arial" w:cs="Arial"/>
                <w:iCs/>
                <w:sz w:val="24"/>
                <w:szCs w:val="24"/>
              </w:rPr>
              <w:t>as a result of</w:t>
            </w:r>
            <w:proofErr w:type="gramEnd"/>
            <w:r w:rsidRPr="007F3577">
              <w:rPr>
                <w:rFonts w:ascii="Arial" w:hAnsi="Arial" w:cs="Arial"/>
                <w:iCs/>
                <w:sz w:val="24"/>
                <w:szCs w:val="24"/>
              </w:rPr>
              <w:t xml:space="preserve"> the information in this document.</w:t>
            </w:r>
          </w:p>
          <w:p w14:paraId="160A313A" w14:textId="77777777" w:rsidR="002E014B" w:rsidRPr="007F3577" w:rsidRDefault="002E014B" w:rsidP="00AB4D40">
            <w:pPr>
              <w:pStyle w:val="H1"/>
              <w:spacing w:before="0" w:after="0"/>
              <w:jc w:val="both"/>
              <w:rPr>
                <w:rFonts w:ascii="Arial" w:hAnsi="Arial" w:cs="Arial"/>
                <w:szCs w:val="24"/>
                <w:lang w:val="en-IE"/>
              </w:rPr>
            </w:pPr>
          </w:p>
        </w:tc>
      </w:tr>
    </w:tbl>
    <w:p w14:paraId="03D5438D" w14:textId="77777777" w:rsidR="002E014B" w:rsidRPr="007F3577" w:rsidRDefault="002E014B" w:rsidP="002E014B">
      <w:pPr>
        <w:pStyle w:val="H1"/>
        <w:spacing w:before="0" w:after="0"/>
        <w:jc w:val="both"/>
        <w:rPr>
          <w:rFonts w:ascii="Arial" w:hAnsi="Arial" w:cs="Arial"/>
          <w:szCs w:val="24"/>
          <w:lang w:val="en-IE"/>
        </w:rPr>
      </w:pPr>
    </w:p>
    <w:p w14:paraId="08B6F5BE" w14:textId="77777777" w:rsidR="008925F5" w:rsidRPr="007F3577" w:rsidRDefault="008925F5" w:rsidP="002E014B">
      <w:pPr>
        <w:pStyle w:val="P1"/>
        <w:rPr>
          <w:rFonts w:ascii="Arial" w:hAnsi="Arial" w:cs="Arial"/>
          <w:b/>
          <w:szCs w:val="24"/>
          <w:lang w:val="en-IE"/>
        </w:rPr>
        <w:sectPr w:rsidR="008925F5" w:rsidRPr="007F3577" w:rsidSect="00FF5DF0">
          <w:headerReference w:type="default" r:id="rId8"/>
          <w:footerReference w:type="default" r:id="rId9"/>
          <w:headerReference w:type="first" r:id="rId10"/>
          <w:pgSz w:w="11906" w:h="16838"/>
          <w:pgMar w:top="1440" w:right="1440" w:bottom="1440" w:left="1440" w:header="708" w:footer="708" w:gutter="0"/>
          <w:cols w:space="708"/>
          <w:docGrid w:linePitch="360"/>
        </w:sectPr>
      </w:pPr>
    </w:p>
    <w:sdt>
      <w:sdtPr>
        <w:rPr>
          <w:rFonts w:ascii="Times New Roman" w:eastAsia="Times New Roman" w:hAnsi="Times New Roman" w:cs="Times New Roman"/>
          <w:color w:val="auto"/>
          <w:sz w:val="20"/>
          <w:szCs w:val="20"/>
          <w:lang w:eastAsia="en-GB"/>
        </w:rPr>
        <w:id w:val="-1199925671"/>
        <w:docPartObj>
          <w:docPartGallery w:val="Table of Contents"/>
          <w:docPartUnique/>
        </w:docPartObj>
      </w:sdtPr>
      <w:sdtEndPr>
        <w:rPr>
          <w:b/>
          <w:bCs/>
        </w:rPr>
      </w:sdtEndPr>
      <w:sdtContent>
        <w:p w14:paraId="6C3FD5CD" w14:textId="1AAAF8C4" w:rsidR="002E014B" w:rsidRPr="007F3577" w:rsidRDefault="002E014B" w:rsidP="002E014B">
          <w:pPr>
            <w:pStyle w:val="TOCHeading"/>
            <w:rPr>
              <w:rFonts w:ascii="Arial" w:hAnsi="Arial" w:cs="Arial"/>
              <w:b/>
              <w:bCs/>
              <w:color w:val="auto"/>
            </w:rPr>
          </w:pPr>
          <w:r w:rsidRPr="007F3577">
            <w:rPr>
              <w:rFonts w:ascii="Arial" w:hAnsi="Arial" w:cs="Arial"/>
              <w:b/>
              <w:bCs/>
              <w:color w:val="auto"/>
            </w:rPr>
            <w:t xml:space="preserve">Table of </w:t>
          </w:r>
          <w:r w:rsidR="005272DB" w:rsidRPr="007F3577">
            <w:rPr>
              <w:rFonts w:ascii="Arial" w:hAnsi="Arial" w:cs="Arial"/>
              <w:b/>
              <w:bCs/>
              <w:color w:val="auto"/>
            </w:rPr>
            <w:t>c</w:t>
          </w:r>
          <w:r w:rsidRPr="007F3577">
            <w:rPr>
              <w:rFonts w:ascii="Arial" w:hAnsi="Arial" w:cs="Arial"/>
              <w:b/>
              <w:bCs/>
              <w:color w:val="auto"/>
            </w:rPr>
            <w:t>ontents</w:t>
          </w:r>
        </w:p>
        <w:p w14:paraId="6C2EB787" w14:textId="77777777" w:rsidR="002E014B" w:rsidRPr="007F3577" w:rsidRDefault="002E014B" w:rsidP="002E014B">
          <w:pPr>
            <w:rPr>
              <w:lang w:eastAsia="en-IE"/>
            </w:rPr>
          </w:pPr>
        </w:p>
        <w:p w14:paraId="67FA1AB9" w14:textId="59365282" w:rsidR="002E014B" w:rsidRPr="007F3577" w:rsidRDefault="002E014B" w:rsidP="00FF5DF0">
          <w:pPr>
            <w:pStyle w:val="TOC1"/>
            <w:tabs>
              <w:tab w:val="clear" w:pos="8630"/>
              <w:tab w:val="right" w:leader="dot" w:pos="8931"/>
            </w:tabs>
            <w:spacing w:line="276" w:lineRule="auto"/>
            <w:ind w:left="437" w:hanging="437"/>
          </w:pPr>
          <w:r w:rsidRPr="007F3577">
            <w:fldChar w:fldCharType="begin"/>
          </w:r>
          <w:r w:rsidRPr="007F3577">
            <w:instrText xml:space="preserve"> TOC \o "1-3" \h \z \u </w:instrText>
          </w:r>
          <w:r w:rsidRPr="007F3577">
            <w:fldChar w:fldCharType="separate"/>
          </w:r>
          <w:hyperlink w:anchor="_Toc118903941" w:history="1">
            <w:r w:rsidRPr="007F3577">
              <w:rPr>
                <w:rStyle w:val="Hyperlink"/>
              </w:rPr>
              <w:t>1.</w:t>
            </w:r>
            <w:r w:rsidRPr="007F3577">
              <w:rPr>
                <w:rFonts w:asciiTheme="minorHAnsi" w:eastAsiaTheme="minorEastAsia" w:hAnsiTheme="minorHAnsi" w:cstheme="minorBidi"/>
                <w:sz w:val="22"/>
                <w:szCs w:val="22"/>
                <w:lang w:eastAsia="en-IE"/>
              </w:rPr>
              <w:tab/>
            </w:r>
            <w:r w:rsidRPr="007F3577">
              <w:rPr>
                <w:rStyle w:val="Hyperlink"/>
              </w:rPr>
              <w:t>Many fund managers, particularly overseas managers, are not familiar with the concept of qualifying assets and are poorly equipped to provide data in a suitable format. Is there any obligation on the fund manager(s) or custodian(s) to provide the scheme actuary with the underlying asset data in a readily assimilated format to enable an assessment of the value of qualifying assets for the purposes of calculating the funding standard reserve?</w:t>
            </w:r>
            <w:r w:rsidRPr="007F3577">
              <w:rPr>
                <w:webHidden/>
              </w:rPr>
              <w:tab/>
            </w:r>
            <w:r w:rsidRPr="007F3577">
              <w:rPr>
                <w:webHidden/>
              </w:rPr>
              <w:fldChar w:fldCharType="begin"/>
            </w:r>
            <w:r w:rsidRPr="007F3577">
              <w:rPr>
                <w:webHidden/>
              </w:rPr>
              <w:instrText xml:space="preserve"> PAGEREF _Toc118903941 \h </w:instrText>
            </w:r>
            <w:r w:rsidRPr="007F3577">
              <w:rPr>
                <w:webHidden/>
              </w:rPr>
            </w:r>
            <w:r w:rsidRPr="007F3577">
              <w:rPr>
                <w:webHidden/>
              </w:rPr>
              <w:fldChar w:fldCharType="separate"/>
            </w:r>
            <w:r w:rsidR="00383D5A">
              <w:rPr>
                <w:webHidden/>
              </w:rPr>
              <w:t>5</w:t>
            </w:r>
            <w:r w:rsidRPr="007F3577">
              <w:rPr>
                <w:webHidden/>
              </w:rPr>
              <w:fldChar w:fldCharType="end"/>
            </w:r>
          </w:hyperlink>
        </w:p>
        <w:p w14:paraId="12C6064F" w14:textId="73E696B3" w:rsidR="008925F5" w:rsidRPr="007F3577" w:rsidRDefault="008925F5" w:rsidP="00FF5DF0">
          <w:pPr>
            <w:tabs>
              <w:tab w:val="right" w:leader="dot" w:pos="8931"/>
            </w:tabs>
            <w:rPr>
              <w:rFonts w:eastAsiaTheme="minorEastAsia"/>
              <w:noProof/>
            </w:rPr>
          </w:pPr>
        </w:p>
        <w:p w14:paraId="00E011CA" w14:textId="17041C32" w:rsidR="002E014B" w:rsidRPr="007F3577" w:rsidRDefault="002E014B" w:rsidP="00FF5DF0">
          <w:pPr>
            <w:pStyle w:val="TOC1"/>
            <w:tabs>
              <w:tab w:val="clear" w:pos="8630"/>
              <w:tab w:val="right" w:leader="dot" w:pos="8931"/>
            </w:tabs>
            <w:spacing w:line="276" w:lineRule="auto"/>
            <w:ind w:left="437" w:hanging="437"/>
          </w:pPr>
          <w:hyperlink w:anchor="_Toc118903942" w:history="1">
            <w:r w:rsidRPr="007F3577">
              <w:rPr>
                <w:rStyle w:val="Hyperlink"/>
              </w:rPr>
              <w:t>2.</w:t>
            </w:r>
            <w:r w:rsidRPr="007F3577">
              <w:rPr>
                <w:rFonts w:asciiTheme="minorHAnsi" w:eastAsiaTheme="minorEastAsia" w:hAnsiTheme="minorHAnsi" w:cstheme="minorBidi"/>
                <w:sz w:val="22"/>
                <w:szCs w:val="22"/>
                <w:lang w:eastAsia="en-IE"/>
              </w:rPr>
              <w:tab/>
            </w:r>
            <w:r w:rsidRPr="007F3577">
              <w:rPr>
                <w:rStyle w:val="Hyperlink"/>
              </w:rPr>
              <w:t>For certain bonds without a credit rating, determining if they are qualifying assets is assessed by reference to their yield spread over the yield on specific German bunds. Are there any intentions to update these yield differentials?</w:t>
            </w:r>
            <w:r w:rsidRPr="007F3577">
              <w:rPr>
                <w:webHidden/>
              </w:rPr>
              <w:tab/>
            </w:r>
            <w:r w:rsidRPr="007F3577">
              <w:rPr>
                <w:webHidden/>
              </w:rPr>
              <w:fldChar w:fldCharType="begin"/>
            </w:r>
            <w:r w:rsidRPr="007F3577">
              <w:rPr>
                <w:webHidden/>
              </w:rPr>
              <w:instrText xml:space="preserve"> PAGEREF _Toc118903942 \h </w:instrText>
            </w:r>
            <w:r w:rsidRPr="007F3577">
              <w:rPr>
                <w:webHidden/>
              </w:rPr>
            </w:r>
            <w:r w:rsidRPr="007F3577">
              <w:rPr>
                <w:webHidden/>
              </w:rPr>
              <w:fldChar w:fldCharType="separate"/>
            </w:r>
            <w:r w:rsidR="00383D5A">
              <w:rPr>
                <w:webHidden/>
              </w:rPr>
              <w:t>5</w:t>
            </w:r>
            <w:r w:rsidRPr="007F3577">
              <w:rPr>
                <w:webHidden/>
              </w:rPr>
              <w:fldChar w:fldCharType="end"/>
            </w:r>
          </w:hyperlink>
        </w:p>
        <w:p w14:paraId="03E36B2F" w14:textId="77777777" w:rsidR="008925F5" w:rsidRPr="007F3577" w:rsidRDefault="008925F5" w:rsidP="00FF5DF0">
          <w:pPr>
            <w:tabs>
              <w:tab w:val="right" w:leader="dot" w:pos="8931"/>
            </w:tabs>
            <w:rPr>
              <w:rFonts w:eastAsiaTheme="minorEastAsia"/>
              <w:noProof/>
            </w:rPr>
          </w:pPr>
        </w:p>
        <w:p w14:paraId="2F17190C" w14:textId="7059663B" w:rsidR="002E014B" w:rsidRPr="007F3577" w:rsidRDefault="002E014B" w:rsidP="00FF5DF0">
          <w:pPr>
            <w:pStyle w:val="TOC1"/>
            <w:tabs>
              <w:tab w:val="clear" w:pos="8630"/>
              <w:tab w:val="right" w:leader="dot" w:pos="8931"/>
            </w:tabs>
            <w:spacing w:line="276" w:lineRule="auto"/>
            <w:ind w:left="437" w:hanging="437"/>
          </w:pPr>
          <w:hyperlink w:anchor="_Toc118903943" w:history="1">
            <w:r w:rsidRPr="007F3577">
              <w:rPr>
                <w:rStyle w:val="Hyperlink"/>
              </w:rPr>
              <w:t>3.</w:t>
            </w:r>
            <w:r w:rsidRPr="007F3577">
              <w:rPr>
                <w:rFonts w:asciiTheme="minorHAnsi" w:eastAsiaTheme="minorEastAsia" w:hAnsiTheme="minorHAnsi" w:cstheme="minorBidi"/>
                <w:sz w:val="22"/>
                <w:szCs w:val="22"/>
                <w:lang w:eastAsia="en-IE"/>
              </w:rPr>
              <w:tab/>
            </w:r>
            <w:r w:rsidRPr="007F3577">
              <w:rPr>
                <w:rStyle w:val="Hyperlink"/>
              </w:rPr>
              <w:t>The trustees hold interest rate swaps as part of a liability driven investment (LDI) strategy to hedge interest rate risk. Are such instruments deemed qualifying assets?</w:t>
            </w:r>
            <w:r w:rsidRPr="007F3577">
              <w:rPr>
                <w:webHidden/>
              </w:rPr>
              <w:tab/>
            </w:r>
            <w:r w:rsidRPr="007F3577">
              <w:rPr>
                <w:webHidden/>
              </w:rPr>
              <w:fldChar w:fldCharType="begin"/>
            </w:r>
            <w:r w:rsidRPr="007F3577">
              <w:rPr>
                <w:webHidden/>
              </w:rPr>
              <w:instrText xml:space="preserve"> PAGEREF _Toc118903943 \h </w:instrText>
            </w:r>
            <w:r w:rsidRPr="007F3577">
              <w:rPr>
                <w:webHidden/>
              </w:rPr>
            </w:r>
            <w:r w:rsidRPr="007F3577">
              <w:rPr>
                <w:webHidden/>
              </w:rPr>
              <w:fldChar w:fldCharType="separate"/>
            </w:r>
            <w:r w:rsidR="00383D5A">
              <w:rPr>
                <w:webHidden/>
              </w:rPr>
              <w:t>5</w:t>
            </w:r>
            <w:r w:rsidRPr="007F3577">
              <w:rPr>
                <w:webHidden/>
              </w:rPr>
              <w:fldChar w:fldCharType="end"/>
            </w:r>
          </w:hyperlink>
        </w:p>
        <w:p w14:paraId="2840D9B3" w14:textId="77777777" w:rsidR="008925F5" w:rsidRPr="007F3577" w:rsidRDefault="008925F5" w:rsidP="00FF5DF0">
          <w:pPr>
            <w:tabs>
              <w:tab w:val="right" w:leader="dot" w:pos="8931"/>
            </w:tabs>
            <w:rPr>
              <w:rFonts w:eastAsiaTheme="minorEastAsia"/>
              <w:noProof/>
            </w:rPr>
          </w:pPr>
        </w:p>
        <w:p w14:paraId="2428B0B6" w14:textId="7CA09C72" w:rsidR="002E014B" w:rsidRPr="007F3577" w:rsidRDefault="002E014B" w:rsidP="00FF5DF0">
          <w:pPr>
            <w:pStyle w:val="TOC1"/>
            <w:tabs>
              <w:tab w:val="clear" w:pos="8630"/>
              <w:tab w:val="right" w:leader="dot" w:pos="8931"/>
            </w:tabs>
            <w:spacing w:line="276" w:lineRule="auto"/>
            <w:ind w:left="437" w:hanging="437"/>
          </w:pPr>
          <w:hyperlink w:anchor="_Toc118903944" w:history="1">
            <w:r w:rsidRPr="007F3577">
              <w:rPr>
                <w:rStyle w:val="Hyperlink"/>
              </w:rPr>
              <w:t>4.</w:t>
            </w:r>
            <w:r w:rsidRPr="007F3577">
              <w:rPr>
                <w:rFonts w:asciiTheme="minorHAnsi" w:eastAsiaTheme="minorEastAsia" w:hAnsiTheme="minorHAnsi" w:cstheme="minorBidi"/>
                <w:sz w:val="22"/>
                <w:szCs w:val="22"/>
                <w:lang w:eastAsia="en-IE"/>
              </w:rPr>
              <w:tab/>
            </w:r>
            <w:r w:rsidRPr="007F3577">
              <w:rPr>
                <w:rStyle w:val="Hyperlink"/>
              </w:rPr>
              <w:t>Are non-euro denominated bonds issued by a non-EU state but hedged to Euro denominated bonds counted as qualifying assets?</w:t>
            </w:r>
            <w:r w:rsidRPr="007F3577">
              <w:rPr>
                <w:webHidden/>
              </w:rPr>
              <w:tab/>
            </w:r>
            <w:r w:rsidRPr="007F3577">
              <w:rPr>
                <w:webHidden/>
              </w:rPr>
              <w:fldChar w:fldCharType="begin"/>
            </w:r>
            <w:r w:rsidRPr="007F3577">
              <w:rPr>
                <w:webHidden/>
              </w:rPr>
              <w:instrText xml:space="preserve"> PAGEREF _Toc118903944 \h </w:instrText>
            </w:r>
            <w:r w:rsidRPr="007F3577">
              <w:rPr>
                <w:webHidden/>
              </w:rPr>
            </w:r>
            <w:r w:rsidRPr="007F3577">
              <w:rPr>
                <w:webHidden/>
              </w:rPr>
              <w:fldChar w:fldCharType="separate"/>
            </w:r>
            <w:r w:rsidR="00383D5A">
              <w:rPr>
                <w:webHidden/>
              </w:rPr>
              <w:t>5</w:t>
            </w:r>
            <w:r w:rsidRPr="007F3577">
              <w:rPr>
                <w:webHidden/>
              </w:rPr>
              <w:fldChar w:fldCharType="end"/>
            </w:r>
          </w:hyperlink>
        </w:p>
        <w:p w14:paraId="396DCACD" w14:textId="77777777" w:rsidR="008925F5" w:rsidRPr="007F3577" w:rsidRDefault="008925F5" w:rsidP="00FF5DF0">
          <w:pPr>
            <w:tabs>
              <w:tab w:val="right" w:leader="dot" w:pos="8931"/>
            </w:tabs>
            <w:rPr>
              <w:rFonts w:eastAsiaTheme="minorEastAsia"/>
              <w:noProof/>
            </w:rPr>
          </w:pPr>
        </w:p>
        <w:p w14:paraId="481002CE" w14:textId="3E2BB413" w:rsidR="002E014B" w:rsidRPr="007F3577" w:rsidRDefault="002E014B" w:rsidP="00FF5DF0">
          <w:pPr>
            <w:pStyle w:val="TOC1"/>
            <w:tabs>
              <w:tab w:val="clear" w:pos="8630"/>
              <w:tab w:val="right" w:leader="dot" w:pos="8931"/>
            </w:tabs>
            <w:spacing w:line="276" w:lineRule="auto"/>
            <w:ind w:left="437" w:hanging="437"/>
          </w:pPr>
          <w:hyperlink w:anchor="_Toc118903945" w:history="1">
            <w:r w:rsidRPr="007F3577">
              <w:rPr>
                <w:rStyle w:val="Hyperlink"/>
              </w:rPr>
              <w:t>5.</w:t>
            </w:r>
            <w:r w:rsidRPr="007F3577">
              <w:rPr>
                <w:rFonts w:asciiTheme="minorHAnsi" w:eastAsiaTheme="minorEastAsia" w:hAnsiTheme="minorHAnsi" w:cstheme="minorBidi"/>
                <w:sz w:val="22"/>
                <w:szCs w:val="22"/>
                <w:lang w:eastAsia="en-IE"/>
              </w:rPr>
              <w:tab/>
            </w:r>
            <w:r w:rsidRPr="007F3577">
              <w:rPr>
                <w:rStyle w:val="Hyperlink"/>
              </w:rPr>
              <w:t>Does the balance in the trustee bank account satisfy the definition of cash for funding standard reserve purposes?</w:t>
            </w:r>
            <w:r w:rsidRPr="007F3577">
              <w:rPr>
                <w:webHidden/>
              </w:rPr>
              <w:tab/>
            </w:r>
            <w:r w:rsidRPr="007F3577">
              <w:rPr>
                <w:webHidden/>
              </w:rPr>
              <w:fldChar w:fldCharType="begin"/>
            </w:r>
            <w:r w:rsidRPr="007F3577">
              <w:rPr>
                <w:webHidden/>
              </w:rPr>
              <w:instrText xml:space="preserve"> PAGEREF _Toc118903945 \h </w:instrText>
            </w:r>
            <w:r w:rsidRPr="007F3577">
              <w:rPr>
                <w:webHidden/>
              </w:rPr>
            </w:r>
            <w:r w:rsidRPr="007F3577">
              <w:rPr>
                <w:webHidden/>
              </w:rPr>
              <w:fldChar w:fldCharType="separate"/>
            </w:r>
            <w:r w:rsidR="00383D5A">
              <w:rPr>
                <w:webHidden/>
              </w:rPr>
              <w:t>6</w:t>
            </w:r>
            <w:r w:rsidRPr="007F3577">
              <w:rPr>
                <w:webHidden/>
              </w:rPr>
              <w:fldChar w:fldCharType="end"/>
            </w:r>
          </w:hyperlink>
        </w:p>
        <w:p w14:paraId="4D58CDF3" w14:textId="77777777" w:rsidR="008925F5" w:rsidRPr="007F3577" w:rsidRDefault="008925F5" w:rsidP="00FF5DF0">
          <w:pPr>
            <w:tabs>
              <w:tab w:val="right" w:leader="dot" w:pos="8931"/>
            </w:tabs>
            <w:rPr>
              <w:rFonts w:eastAsiaTheme="minorEastAsia"/>
              <w:noProof/>
            </w:rPr>
          </w:pPr>
        </w:p>
        <w:p w14:paraId="29488260" w14:textId="2219043E" w:rsidR="002E014B" w:rsidRPr="007F3577" w:rsidRDefault="002E014B" w:rsidP="00FF5DF0">
          <w:pPr>
            <w:pStyle w:val="TOC1"/>
            <w:tabs>
              <w:tab w:val="clear" w:pos="8630"/>
              <w:tab w:val="right" w:leader="dot" w:pos="8931"/>
            </w:tabs>
            <w:spacing w:line="276" w:lineRule="auto"/>
            <w:ind w:left="437" w:hanging="437"/>
          </w:pPr>
          <w:hyperlink w:anchor="_Toc118903946" w:history="1">
            <w:r w:rsidRPr="007F3577">
              <w:rPr>
                <w:rStyle w:val="Hyperlink"/>
              </w:rPr>
              <w:t>6.</w:t>
            </w:r>
            <w:r w:rsidRPr="007F3577">
              <w:rPr>
                <w:rFonts w:asciiTheme="minorHAnsi" w:eastAsiaTheme="minorEastAsia" w:hAnsiTheme="minorHAnsi" w:cstheme="minorBidi"/>
                <w:sz w:val="22"/>
                <w:szCs w:val="22"/>
                <w:lang w:eastAsia="en-IE"/>
              </w:rPr>
              <w:tab/>
            </w:r>
            <w:r w:rsidRPr="007F3577">
              <w:rPr>
                <w:rStyle w:val="Hyperlink"/>
              </w:rPr>
              <w:t>What status do contributions that have been received but are in transit to an investment manager at the effective date have?</w:t>
            </w:r>
            <w:r w:rsidRPr="007F3577">
              <w:rPr>
                <w:webHidden/>
              </w:rPr>
              <w:tab/>
            </w:r>
            <w:r w:rsidRPr="007F3577">
              <w:rPr>
                <w:webHidden/>
              </w:rPr>
              <w:fldChar w:fldCharType="begin"/>
            </w:r>
            <w:r w:rsidRPr="007F3577">
              <w:rPr>
                <w:webHidden/>
              </w:rPr>
              <w:instrText xml:space="preserve"> PAGEREF _Toc118903946 \h </w:instrText>
            </w:r>
            <w:r w:rsidRPr="007F3577">
              <w:rPr>
                <w:webHidden/>
              </w:rPr>
            </w:r>
            <w:r w:rsidRPr="007F3577">
              <w:rPr>
                <w:webHidden/>
              </w:rPr>
              <w:fldChar w:fldCharType="separate"/>
            </w:r>
            <w:r w:rsidR="00383D5A">
              <w:rPr>
                <w:webHidden/>
              </w:rPr>
              <w:t>6</w:t>
            </w:r>
            <w:r w:rsidRPr="007F3577">
              <w:rPr>
                <w:webHidden/>
              </w:rPr>
              <w:fldChar w:fldCharType="end"/>
            </w:r>
          </w:hyperlink>
        </w:p>
        <w:p w14:paraId="093518AB" w14:textId="77777777" w:rsidR="008925F5" w:rsidRPr="007F3577" w:rsidRDefault="008925F5" w:rsidP="00FF5DF0">
          <w:pPr>
            <w:tabs>
              <w:tab w:val="right" w:leader="dot" w:pos="8931"/>
            </w:tabs>
            <w:rPr>
              <w:rFonts w:eastAsiaTheme="minorEastAsia"/>
              <w:noProof/>
            </w:rPr>
          </w:pPr>
        </w:p>
        <w:p w14:paraId="5DBE5D76" w14:textId="7455621E" w:rsidR="002E014B" w:rsidRPr="007F3577" w:rsidRDefault="002E014B" w:rsidP="00FF5DF0">
          <w:pPr>
            <w:pStyle w:val="TOC1"/>
            <w:tabs>
              <w:tab w:val="clear" w:pos="8630"/>
              <w:tab w:val="right" w:leader="dot" w:pos="8931"/>
            </w:tabs>
            <w:spacing w:line="276" w:lineRule="auto"/>
            <w:ind w:left="437" w:hanging="437"/>
          </w:pPr>
          <w:hyperlink w:anchor="_Toc118903947" w:history="1">
            <w:r w:rsidRPr="007F3577">
              <w:rPr>
                <w:rStyle w:val="Hyperlink"/>
              </w:rPr>
              <w:t>7.</w:t>
            </w:r>
            <w:r w:rsidRPr="007F3577">
              <w:rPr>
                <w:rFonts w:asciiTheme="minorHAnsi" w:eastAsiaTheme="minorEastAsia" w:hAnsiTheme="minorHAnsi" w:cstheme="minorBidi"/>
                <w:sz w:val="22"/>
                <w:szCs w:val="22"/>
                <w:lang w:eastAsia="en-IE"/>
              </w:rPr>
              <w:tab/>
            </w:r>
            <w:r w:rsidRPr="007F3577">
              <w:rPr>
                <w:rStyle w:val="Hyperlink"/>
              </w:rPr>
              <w:t>Are contributions due deemed admissible?</w:t>
            </w:r>
            <w:r w:rsidRPr="007F3577">
              <w:rPr>
                <w:webHidden/>
              </w:rPr>
              <w:tab/>
            </w:r>
            <w:r w:rsidRPr="007F3577">
              <w:rPr>
                <w:webHidden/>
              </w:rPr>
              <w:fldChar w:fldCharType="begin"/>
            </w:r>
            <w:r w:rsidRPr="007F3577">
              <w:rPr>
                <w:webHidden/>
              </w:rPr>
              <w:instrText xml:space="preserve"> PAGEREF _Toc118903947 \h </w:instrText>
            </w:r>
            <w:r w:rsidRPr="007F3577">
              <w:rPr>
                <w:webHidden/>
              </w:rPr>
            </w:r>
            <w:r w:rsidRPr="007F3577">
              <w:rPr>
                <w:webHidden/>
              </w:rPr>
              <w:fldChar w:fldCharType="separate"/>
            </w:r>
            <w:r w:rsidR="00383D5A">
              <w:rPr>
                <w:webHidden/>
              </w:rPr>
              <w:t>6</w:t>
            </w:r>
            <w:r w:rsidRPr="007F3577">
              <w:rPr>
                <w:webHidden/>
              </w:rPr>
              <w:fldChar w:fldCharType="end"/>
            </w:r>
          </w:hyperlink>
        </w:p>
        <w:p w14:paraId="7F258E9A" w14:textId="77777777" w:rsidR="008925F5" w:rsidRPr="007F3577" w:rsidRDefault="008925F5" w:rsidP="00FF5DF0">
          <w:pPr>
            <w:tabs>
              <w:tab w:val="right" w:leader="dot" w:pos="8931"/>
            </w:tabs>
            <w:rPr>
              <w:rFonts w:eastAsiaTheme="minorEastAsia"/>
              <w:noProof/>
            </w:rPr>
          </w:pPr>
        </w:p>
        <w:p w14:paraId="6B1467BC" w14:textId="08BADFFC" w:rsidR="002E014B" w:rsidRPr="007F3577" w:rsidRDefault="002E014B" w:rsidP="00FF5DF0">
          <w:pPr>
            <w:pStyle w:val="TOC1"/>
            <w:tabs>
              <w:tab w:val="clear" w:pos="8630"/>
              <w:tab w:val="right" w:leader="dot" w:pos="8931"/>
            </w:tabs>
            <w:spacing w:line="276" w:lineRule="auto"/>
            <w:ind w:left="437" w:hanging="437"/>
          </w:pPr>
          <w:hyperlink w:anchor="_Toc118903948" w:history="1">
            <w:r w:rsidRPr="007F3577">
              <w:rPr>
                <w:rStyle w:val="Hyperlink"/>
              </w:rPr>
              <w:t>8.</w:t>
            </w:r>
            <w:r w:rsidRPr="007F3577">
              <w:rPr>
                <w:rFonts w:asciiTheme="minorHAnsi" w:eastAsiaTheme="minorEastAsia" w:hAnsiTheme="minorHAnsi" w:cstheme="minorBidi"/>
                <w:sz w:val="22"/>
                <w:szCs w:val="22"/>
                <w:lang w:eastAsia="en-IE"/>
              </w:rPr>
              <w:tab/>
            </w:r>
            <w:r w:rsidRPr="007F3577">
              <w:rPr>
                <w:rStyle w:val="Hyperlink"/>
              </w:rPr>
              <w:t>Does the definition of cash deposit encompass all short duration and high-quality assets typically held within liquidity funds?</w:t>
            </w:r>
            <w:r w:rsidRPr="007F3577">
              <w:rPr>
                <w:webHidden/>
              </w:rPr>
              <w:tab/>
            </w:r>
            <w:r w:rsidRPr="007F3577">
              <w:rPr>
                <w:webHidden/>
              </w:rPr>
              <w:fldChar w:fldCharType="begin"/>
            </w:r>
            <w:r w:rsidRPr="007F3577">
              <w:rPr>
                <w:webHidden/>
              </w:rPr>
              <w:instrText xml:space="preserve"> PAGEREF _Toc118903948 \h </w:instrText>
            </w:r>
            <w:r w:rsidRPr="007F3577">
              <w:rPr>
                <w:webHidden/>
              </w:rPr>
            </w:r>
            <w:r w:rsidRPr="007F3577">
              <w:rPr>
                <w:webHidden/>
              </w:rPr>
              <w:fldChar w:fldCharType="separate"/>
            </w:r>
            <w:r w:rsidR="00383D5A">
              <w:rPr>
                <w:webHidden/>
              </w:rPr>
              <w:t>6</w:t>
            </w:r>
            <w:r w:rsidRPr="007F3577">
              <w:rPr>
                <w:webHidden/>
              </w:rPr>
              <w:fldChar w:fldCharType="end"/>
            </w:r>
          </w:hyperlink>
        </w:p>
        <w:p w14:paraId="5269E646" w14:textId="77777777" w:rsidR="008925F5" w:rsidRPr="007F3577" w:rsidRDefault="008925F5" w:rsidP="00FF5DF0">
          <w:pPr>
            <w:tabs>
              <w:tab w:val="right" w:leader="dot" w:pos="8931"/>
            </w:tabs>
            <w:rPr>
              <w:rFonts w:eastAsiaTheme="minorEastAsia"/>
              <w:noProof/>
            </w:rPr>
          </w:pPr>
        </w:p>
        <w:p w14:paraId="08DC7868" w14:textId="2D40A027" w:rsidR="002E014B" w:rsidRPr="007F3577" w:rsidRDefault="002E014B" w:rsidP="00FF5DF0">
          <w:pPr>
            <w:pStyle w:val="TOC1"/>
            <w:tabs>
              <w:tab w:val="clear" w:pos="8630"/>
              <w:tab w:val="right" w:leader="dot" w:pos="8931"/>
            </w:tabs>
            <w:spacing w:line="276" w:lineRule="auto"/>
            <w:ind w:left="437" w:hanging="437"/>
          </w:pPr>
          <w:hyperlink w:anchor="_Toc118903949" w:history="1">
            <w:r w:rsidRPr="007F3577">
              <w:rPr>
                <w:rStyle w:val="Hyperlink"/>
              </w:rPr>
              <w:t>9.</w:t>
            </w:r>
            <w:r w:rsidRPr="007F3577">
              <w:rPr>
                <w:rFonts w:asciiTheme="minorHAnsi" w:eastAsiaTheme="minorEastAsia" w:hAnsiTheme="minorHAnsi" w:cstheme="minorBidi"/>
                <w:sz w:val="22"/>
                <w:szCs w:val="22"/>
                <w:lang w:eastAsia="en-IE"/>
              </w:rPr>
              <w:tab/>
            </w:r>
            <w:r w:rsidRPr="007F3577">
              <w:rPr>
                <w:rStyle w:val="Hyperlink"/>
              </w:rPr>
              <w:t>The trustees are invested in an absolute return fund that makes widespread use of derivatives. The underlying backing collateral asset to these derivatives is cash. Are these cash holdings deemed admissible?</w:t>
            </w:r>
            <w:r w:rsidRPr="007F3577">
              <w:rPr>
                <w:webHidden/>
              </w:rPr>
              <w:tab/>
            </w:r>
            <w:r w:rsidRPr="007F3577">
              <w:rPr>
                <w:webHidden/>
              </w:rPr>
              <w:fldChar w:fldCharType="begin"/>
            </w:r>
            <w:r w:rsidRPr="007F3577">
              <w:rPr>
                <w:webHidden/>
              </w:rPr>
              <w:instrText xml:space="preserve"> PAGEREF _Toc118903949 \h </w:instrText>
            </w:r>
            <w:r w:rsidRPr="007F3577">
              <w:rPr>
                <w:webHidden/>
              </w:rPr>
            </w:r>
            <w:r w:rsidRPr="007F3577">
              <w:rPr>
                <w:webHidden/>
              </w:rPr>
              <w:fldChar w:fldCharType="separate"/>
            </w:r>
            <w:r w:rsidR="00383D5A">
              <w:rPr>
                <w:webHidden/>
              </w:rPr>
              <w:t>6</w:t>
            </w:r>
            <w:r w:rsidRPr="007F3577">
              <w:rPr>
                <w:webHidden/>
              </w:rPr>
              <w:fldChar w:fldCharType="end"/>
            </w:r>
          </w:hyperlink>
        </w:p>
        <w:p w14:paraId="66CB811C" w14:textId="77777777" w:rsidR="008925F5" w:rsidRPr="007F3577" w:rsidRDefault="008925F5" w:rsidP="00FF5DF0">
          <w:pPr>
            <w:tabs>
              <w:tab w:val="right" w:leader="dot" w:pos="8931"/>
            </w:tabs>
            <w:rPr>
              <w:rFonts w:eastAsiaTheme="minorEastAsia"/>
              <w:noProof/>
            </w:rPr>
          </w:pPr>
        </w:p>
        <w:p w14:paraId="0D03F0D8" w14:textId="54BCCCED" w:rsidR="002E014B" w:rsidRPr="007F3577" w:rsidRDefault="002E014B" w:rsidP="00FF5DF0">
          <w:pPr>
            <w:pStyle w:val="TOC1"/>
            <w:tabs>
              <w:tab w:val="clear" w:pos="8630"/>
              <w:tab w:val="right" w:leader="dot" w:pos="8931"/>
            </w:tabs>
            <w:spacing w:line="276" w:lineRule="auto"/>
            <w:ind w:left="437" w:hanging="437"/>
          </w:pPr>
          <w:hyperlink w:anchor="_Toc118903950" w:history="1">
            <w:r w:rsidRPr="007F3577">
              <w:rPr>
                <w:rStyle w:val="Hyperlink"/>
              </w:rPr>
              <w:t>10.</w:t>
            </w:r>
            <w:r w:rsidRPr="007F3577">
              <w:rPr>
                <w:rFonts w:asciiTheme="minorHAnsi" w:eastAsiaTheme="minorEastAsia" w:hAnsiTheme="minorHAnsi" w:cstheme="minorBidi"/>
                <w:sz w:val="22"/>
                <w:szCs w:val="22"/>
                <w:lang w:eastAsia="en-IE"/>
              </w:rPr>
              <w:tab/>
            </w:r>
            <w:r w:rsidRPr="007F3577">
              <w:rPr>
                <w:rStyle w:val="Hyperlink"/>
              </w:rPr>
              <w:t>The trustees are invested in an absolute return bond fund that holds long and short positions in qualifying bonds. Are the short positions deemed admissible?</w:t>
            </w:r>
            <w:r w:rsidR="007F3577" w:rsidRPr="007F3577">
              <w:rPr>
                <w:rStyle w:val="Hyperlink"/>
              </w:rPr>
              <w:tab/>
            </w:r>
            <w:r w:rsidRPr="007F3577">
              <w:rPr>
                <w:webHidden/>
              </w:rPr>
              <w:tab/>
            </w:r>
            <w:r w:rsidRPr="007F3577">
              <w:rPr>
                <w:webHidden/>
              </w:rPr>
              <w:fldChar w:fldCharType="begin"/>
            </w:r>
            <w:r w:rsidRPr="007F3577">
              <w:rPr>
                <w:webHidden/>
              </w:rPr>
              <w:instrText xml:space="preserve"> PAGEREF _Toc118903950 \h </w:instrText>
            </w:r>
            <w:r w:rsidRPr="007F3577">
              <w:rPr>
                <w:webHidden/>
              </w:rPr>
            </w:r>
            <w:r w:rsidRPr="007F3577">
              <w:rPr>
                <w:webHidden/>
              </w:rPr>
              <w:fldChar w:fldCharType="separate"/>
            </w:r>
            <w:r w:rsidR="00383D5A">
              <w:rPr>
                <w:webHidden/>
              </w:rPr>
              <w:t>6</w:t>
            </w:r>
            <w:r w:rsidRPr="007F3577">
              <w:rPr>
                <w:webHidden/>
              </w:rPr>
              <w:fldChar w:fldCharType="end"/>
            </w:r>
          </w:hyperlink>
        </w:p>
        <w:p w14:paraId="2BAFC264" w14:textId="77777777" w:rsidR="008925F5" w:rsidRPr="007F3577" w:rsidRDefault="008925F5" w:rsidP="00FF5DF0">
          <w:pPr>
            <w:tabs>
              <w:tab w:val="right" w:leader="dot" w:pos="8931"/>
            </w:tabs>
            <w:rPr>
              <w:rFonts w:eastAsiaTheme="minorEastAsia"/>
              <w:noProof/>
            </w:rPr>
          </w:pPr>
        </w:p>
        <w:p w14:paraId="6B3B57BF" w14:textId="46F5EE8B" w:rsidR="002E014B" w:rsidRPr="007F3577" w:rsidRDefault="002E014B" w:rsidP="00FF5DF0">
          <w:pPr>
            <w:pStyle w:val="TOC1"/>
            <w:tabs>
              <w:tab w:val="clear" w:pos="8630"/>
              <w:tab w:val="right" w:leader="dot" w:pos="8931"/>
            </w:tabs>
            <w:spacing w:line="276" w:lineRule="auto"/>
            <w:ind w:left="437" w:hanging="437"/>
          </w:pPr>
          <w:hyperlink w:anchor="_Toc118903951" w:history="1">
            <w:r w:rsidRPr="007F3577">
              <w:rPr>
                <w:rStyle w:val="Hyperlink"/>
              </w:rPr>
              <w:t>11.</w:t>
            </w:r>
            <w:r w:rsidRPr="007F3577">
              <w:rPr>
                <w:rFonts w:asciiTheme="minorHAnsi" w:eastAsiaTheme="minorEastAsia" w:hAnsiTheme="minorHAnsi" w:cstheme="minorBidi"/>
                <w:sz w:val="22"/>
                <w:szCs w:val="22"/>
                <w:lang w:eastAsia="en-IE"/>
              </w:rPr>
              <w:tab/>
            </w:r>
            <w:r w:rsidRPr="007F3577">
              <w:rPr>
                <w:rStyle w:val="Hyperlink"/>
              </w:rPr>
              <w:t>Are sovereign bonds and sovereign annuities deemed qualifying assets?</w:t>
            </w:r>
            <w:r w:rsidRPr="007F3577">
              <w:rPr>
                <w:webHidden/>
              </w:rPr>
              <w:tab/>
            </w:r>
            <w:r w:rsidRPr="007F3577">
              <w:rPr>
                <w:webHidden/>
              </w:rPr>
              <w:fldChar w:fldCharType="begin"/>
            </w:r>
            <w:r w:rsidRPr="007F3577">
              <w:rPr>
                <w:webHidden/>
              </w:rPr>
              <w:instrText xml:space="preserve"> PAGEREF _Toc118903951 \h </w:instrText>
            </w:r>
            <w:r w:rsidRPr="007F3577">
              <w:rPr>
                <w:webHidden/>
              </w:rPr>
            </w:r>
            <w:r w:rsidRPr="007F3577">
              <w:rPr>
                <w:webHidden/>
              </w:rPr>
              <w:fldChar w:fldCharType="separate"/>
            </w:r>
            <w:r w:rsidR="00383D5A">
              <w:rPr>
                <w:webHidden/>
              </w:rPr>
              <w:t>7</w:t>
            </w:r>
            <w:r w:rsidRPr="007F3577">
              <w:rPr>
                <w:webHidden/>
              </w:rPr>
              <w:fldChar w:fldCharType="end"/>
            </w:r>
          </w:hyperlink>
        </w:p>
        <w:p w14:paraId="6266FC37" w14:textId="77777777" w:rsidR="008925F5" w:rsidRPr="007F3577" w:rsidRDefault="008925F5" w:rsidP="00FF5DF0">
          <w:pPr>
            <w:tabs>
              <w:tab w:val="right" w:leader="dot" w:pos="8931"/>
            </w:tabs>
            <w:rPr>
              <w:rFonts w:eastAsiaTheme="minorEastAsia"/>
              <w:noProof/>
            </w:rPr>
          </w:pPr>
        </w:p>
        <w:p w14:paraId="5EA22CF3" w14:textId="4F14B321" w:rsidR="002E014B" w:rsidRPr="007F3577" w:rsidRDefault="002E014B" w:rsidP="00FF5DF0">
          <w:pPr>
            <w:pStyle w:val="TOC1"/>
            <w:tabs>
              <w:tab w:val="clear" w:pos="8630"/>
              <w:tab w:val="right" w:leader="dot" w:pos="8931"/>
            </w:tabs>
            <w:spacing w:line="276" w:lineRule="auto"/>
            <w:ind w:left="437" w:hanging="437"/>
          </w:pPr>
          <w:hyperlink w:anchor="_Toc118903952" w:history="1">
            <w:r w:rsidRPr="007F3577">
              <w:rPr>
                <w:rStyle w:val="Hyperlink"/>
              </w:rPr>
              <w:t>12.</w:t>
            </w:r>
            <w:r w:rsidRPr="007F3577">
              <w:rPr>
                <w:rFonts w:asciiTheme="minorHAnsi" w:eastAsiaTheme="minorEastAsia" w:hAnsiTheme="minorHAnsi" w:cstheme="minorBidi"/>
                <w:sz w:val="22"/>
                <w:szCs w:val="22"/>
                <w:lang w:eastAsia="en-IE"/>
              </w:rPr>
              <w:tab/>
            </w:r>
            <w:r w:rsidRPr="007F3577">
              <w:rPr>
                <w:rStyle w:val="Hyperlink"/>
              </w:rPr>
              <w:t>How should the impact of a 0.5% fall in interest rates on the liabilities be determined, in respect of active members and deferred members?</w:t>
            </w:r>
            <w:r w:rsidRPr="007F3577">
              <w:rPr>
                <w:webHidden/>
              </w:rPr>
              <w:tab/>
            </w:r>
            <w:r w:rsidRPr="007F3577">
              <w:rPr>
                <w:webHidden/>
              </w:rPr>
              <w:fldChar w:fldCharType="begin"/>
            </w:r>
            <w:r w:rsidRPr="007F3577">
              <w:rPr>
                <w:webHidden/>
              </w:rPr>
              <w:instrText xml:space="preserve"> PAGEREF _Toc118903952 \h </w:instrText>
            </w:r>
            <w:r w:rsidRPr="007F3577">
              <w:rPr>
                <w:webHidden/>
              </w:rPr>
            </w:r>
            <w:r w:rsidRPr="007F3577">
              <w:rPr>
                <w:webHidden/>
              </w:rPr>
              <w:fldChar w:fldCharType="separate"/>
            </w:r>
            <w:r w:rsidR="00383D5A">
              <w:rPr>
                <w:webHidden/>
              </w:rPr>
              <w:t>7</w:t>
            </w:r>
            <w:r w:rsidRPr="007F3577">
              <w:rPr>
                <w:webHidden/>
              </w:rPr>
              <w:fldChar w:fldCharType="end"/>
            </w:r>
          </w:hyperlink>
        </w:p>
        <w:p w14:paraId="6474C672" w14:textId="77777777" w:rsidR="008925F5" w:rsidRPr="007F3577" w:rsidRDefault="008925F5" w:rsidP="00FF5DF0">
          <w:pPr>
            <w:tabs>
              <w:tab w:val="right" w:leader="dot" w:pos="8931"/>
            </w:tabs>
            <w:rPr>
              <w:rFonts w:eastAsiaTheme="minorEastAsia"/>
              <w:noProof/>
            </w:rPr>
          </w:pPr>
        </w:p>
        <w:p w14:paraId="0EA35C25" w14:textId="03E76144" w:rsidR="002E014B" w:rsidRPr="007F3577" w:rsidRDefault="002E014B" w:rsidP="00FF5DF0">
          <w:pPr>
            <w:pStyle w:val="TOC1"/>
            <w:tabs>
              <w:tab w:val="clear" w:pos="8630"/>
              <w:tab w:val="right" w:leader="dot" w:pos="8931"/>
            </w:tabs>
            <w:spacing w:line="276" w:lineRule="auto"/>
            <w:ind w:left="437" w:hanging="437"/>
          </w:pPr>
          <w:hyperlink w:anchor="_Toc118903953" w:history="1">
            <w:r w:rsidRPr="007F3577">
              <w:rPr>
                <w:rStyle w:val="Hyperlink"/>
              </w:rPr>
              <w:t>13.</w:t>
            </w:r>
            <w:r w:rsidRPr="007F3577">
              <w:rPr>
                <w:rFonts w:asciiTheme="minorHAnsi" w:eastAsiaTheme="minorEastAsia" w:hAnsiTheme="minorHAnsi" w:cstheme="minorBidi"/>
                <w:sz w:val="22"/>
                <w:szCs w:val="22"/>
                <w:lang w:eastAsia="en-IE"/>
              </w:rPr>
              <w:tab/>
            </w:r>
            <w:r w:rsidRPr="007F3577">
              <w:rPr>
                <w:rStyle w:val="Hyperlink"/>
              </w:rPr>
              <w:t>Can the funding standard reserve component calculated under section 44(2)(b) of the Pensions Act, 1990, as amended, i.e., the ‘interest rate stress test’, be negative?</w:t>
            </w:r>
            <w:r w:rsidRPr="007F3577">
              <w:rPr>
                <w:webHidden/>
              </w:rPr>
              <w:tab/>
            </w:r>
            <w:r w:rsidRPr="007F3577">
              <w:rPr>
                <w:webHidden/>
              </w:rPr>
              <w:fldChar w:fldCharType="begin"/>
            </w:r>
            <w:r w:rsidRPr="007F3577">
              <w:rPr>
                <w:webHidden/>
              </w:rPr>
              <w:instrText xml:space="preserve"> PAGEREF _Toc118903953 \h </w:instrText>
            </w:r>
            <w:r w:rsidRPr="007F3577">
              <w:rPr>
                <w:webHidden/>
              </w:rPr>
            </w:r>
            <w:r w:rsidRPr="007F3577">
              <w:rPr>
                <w:webHidden/>
              </w:rPr>
              <w:fldChar w:fldCharType="separate"/>
            </w:r>
            <w:r w:rsidR="00383D5A">
              <w:rPr>
                <w:webHidden/>
              </w:rPr>
              <w:t>7</w:t>
            </w:r>
            <w:r w:rsidRPr="007F3577">
              <w:rPr>
                <w:webHidden/>
              </w:rPr>
              <w:fldChar w:fldCharType="end"/>
            </w:r>
          </w:hyperlink>
        </w:p>
        <w:p w14:paraId="3BDCB845" w14:textId="77777777" w:rsidR="008925F5" w:rsidRPr="007F3577" w:rsidRDefault="008925F5" w:rsidP="00FF5DF0">
          <w:pPr>
            <w:tabs>
              <w:tab w:val="right" w:leader="dot" w:pos="8931"/>
            </w:tabs>
            <w:rPr>
              <w:rFonts w:eastAsiaTheme="minorEastAsia"/>
              <w:noProof/>
            </w:rPr>
          </w:pPr>
        </w:p>
        <w:p w14:paraId="2C12A034" w14:textId="19DB1B04" w:rsidR="002E014B" w:rsidRPr="007F3577" w:rsidRDefault="002E014B" w:rsidP="00FF5DF0">
          <w:pPr>
            <w:pStyle w:val="TOC1"/>
            <w:tabs>
              <w:tab w:val="clear" w:pos="8630"/>
              <w:tab w:val="right" w:leader="dot" w:pos="8931"/>
            </w:tabs>
            <w:spacing w:line="276" w:lineRule="auto"/>
            <w:ind w:left="437" w:hanging="437"/>
            <w:rPr>
              <w:rFonts w:asciiTheme="minorHAnsi" w:eastAsiaTheme="minorEastAsia" w:hAnsiTheme="minorHAnsi" w:cstheme="minorBidi"/>
              <w:sz w:val="22"/>
              <w:szCs w:val="22"/>
              <w:lang w:eastAsia="en-IE"/>
            </w:rPr>
          </w:pPr>
          <w:hyperlink w:anchor="_Toc118903954" w:history="1">
            <w:r w:rsidRPr="007F3577">
              <w:rPr>
                <w:rStyle w:val="Hyperlink"/>
              </w:rPr>
              <w:t>14.</w:t>
            </w:r>
            <w:r w:rsidRPr="007F3577">
              <w:rPr>
                <w:rFonts w:asciiTheme="minorHAnsi" w:eastAsiaTheme="minorEastAsia" w:hAnsiTheme="minorHAnsi" w:cstheme="minorBidi"/>
                <w:sz w:val="22"/>
                <w:szCs w:val="22"/>
                <w:lang w:eastAsia="en-IE"/>
              </w:rPr>
              <w:tab/>
            </w:r>
            <w:r w:rsidRPr="007F3577">
              <w:rPr>
                <w:rStyle w:val="Hyperlink"/>
              </w:rPr>
              <w:t>The assets of the scheme are partly invested in a paid-up with profits policy. Can credit be taken for the guarantee implicit in such an asset when determining the risk reserve?</w:t>
            </w:r>
            <w:r w:rsidRPr="007F3577">
              <w:rPr>
                <w:webHidden/>
              </w:rPr>
              <w:tab/>
            </w:r>
            <w:r w:rsidRPr="007F3577">
              <w:rPr>
                <w:webHidden/>
              </w:rPr>
              <w:fldChar w:fldCharType="begin"/>
            </w:r>
            <w:r w:rsidRPr="007F3577">
              <w:rPr>
                <w:webHidden/>
              </w:rPr>
              <w:instrText xml:space="preserve"> PAGEREF _Toc118903954 \h </w:instrText>
            </w:r>
            <w:r w:rsidRPr="007F3577">
              <w:rPr>
                <w:webHidden/>
              </w:rPr>
            </w:r>
            <w:r w:rsidRPr="007F3577">
              <w:rPr>
                <w:webHidden/>
              </w:rPr>
              <w:fldChar w:fldCharType="separate"/>
            </w:r>
            <w:r w:rsidR="00383D5A">
              <w:rPr>
                <w:webHidden/>
              </w:rPr>
              <w:t>7</w:t>
            </w:r>
            <w:r w:rsidRPr="007F3577">
              <w:rPr>
                <w:webHidden/>
              </w:rPr>
              <w:fldChar w:fldCharType="end"/>
            </w:r>
          </w:hyperlink>
        </w:p>
        <w:p w14:paraId="6198BD89" w14:textId="77777777" w:rsidR="002E014B" w:rsidRPr="007F3577" w:rsidRDefault="002E014B" w:rsidP="002E014B">
          <w:r w:rsidRPr="007F3577">
            <w:rPr>
              <w:b/>
              <w:bCs/>
            </w:rPr>
            <w:fldChar w:fldCharType="end"/>
          </w:r>
        </w:p>
      </w:sdtContent>
    </w:sdt>
    <w:p w14:paraId="3BAC1805" w14:textId="77777777" w:rsidR="002E014B" w:rsidRPr="007F3577" w:rsidRDefault="002E014B" w:rsidP="002E014B">
      <w:pPr>
        <w:rPr>
          <w:rFonts w:ascii="Arial" w:hAnsi="Arial" w:cs="Arial"/>
          <w:b/>
          <w:bCs/>
          <w:color w:val="333333"/>
          <w:sz w:val="28"/>
          <w:szCs w:val="28"/>
          <w:lang w:eastAsia="en-IE"/>
        </w:rPr>
      </w:pPr>
      <w:r w:rsidRPr="007F3577">
        <w:rPr>
          <w:rFonts w:ascii="Arial" w:hAnsi="Arial" w:cs="Arial"/>
          <w:b/>
          <w:bCs/>
          <w:color w:val="333333"/>
          <w:sz w:val="28"/>
          <w:szCs w:val="28"/>
          <w:lang w:eastAsia="en-IE"/>
        </w:rPr>
        <w:br w:type="page"/>
      </w:r>
    </w:p>
    <w:p w14:paraId="54225D32" w14:textId="77777777" w:rsidR="002E014B" w:rsidRPr="007F3577" w:rsidRDefault="002E014B" w:rsidP="00464331">
      <w:pPr>
        <w:shd w:val="clear" w:color="auto" w:fill="FFFFFF"/>
        <w:spacing w:after="150" w:line="276" w:lineRule="auto"/>
        <w:rPr>
          <w:rFonts w:ascii="Arial" w:hAnsi="Arial" w:cs="Arial"/>
          <w:b/>
          <w:bCs/>
          <w:color w:val="333333"/>
          <w:sz w:val="28"/>
          <w:szCs w:val="28"/>
          <w:lang w:eastAsia="en-IE"/>
        </w:rPr>
      </w:pPr>
      <w:r w:rsidRPr="007F3577">
        <w:rPr>
          <w:rFonts w:ascii="Arial" w:hAnsi="Arial" w:cs="Arial"/>
          <w:b/>
          <w:bCs/>
          <w:color w:val="333333"/>
          <w:sz w:val="28"/>
          <w:szCs w:val="28"/>
          <w:lang w:eastAsia="en-IE"/>
        </w:rPr>
        <w:lastRenderedPageBreak/>
        <w:t>Introduction</w:t>
      </w:r>
    </w:p>
    <w:p w14:paraId="1E508F4D" w14:textId="77777777" w:rsidR="00D70AC2" w:rsidRPr="007F3577" w:rsidRDefault="002E014B" w:rsidP="00464331">
      <w:pPr>
        <w:shd w:val="clear" w:color="auto" w:fill="FFFFFF"/>
        <w:spacing w:line="276" w:lineRule="auto"/>
        <w:rPr>
          <w:rFonts w:ascii="Arial" w:hAnsi="Arial" w:cs="Arial"/>
          <w:color w:val="333333"/>
          <w:sz w:val="24"/>
          <w:szCs w:val="24"/>
          <w:lang w:eastAsia="en-IE"/>
        </w:rPr>
      </w:pPr>
      <w:r w:rsidRPr="007F3577">
        <w:rPr>
          <w:rFonts w:ascii="Arial" w:hAnsi="Arial" w:cs="Arial"/>
          <w:color w:val="333333"/>
          <w:sz w:val="24"/>
          <w:szCs w:val="24"/>
          <w:lang w:eastAsia="en-IE"/>
        </w:rPr>
        <w:t>The funding standard provisions of the Pensions Act, 1990, as amended (the Act) were revised in 2012, introducing the requirement for funded defined benefit schemes to hold a funding standard reserve from 1 January 2016. The funding standard reserve is broadly calculated as 10% of ‘unmatched’ funding standard liabilities plus the net effect of a 0.5% fall in interest rates. </w:t>
      </w:r>
    </w:p>
    <w:p w14:paraId="455E17C9" w14:textId="093701E6" w:rsidR="002E014B" w:rsidRPr="007F3577" w:rsidRDefault="002E014B" w:rsidP="00464331">
      <w:pPr>
        <w:shd w:val="clear" w:color="auto" w:fill="FFFFFF"/>
        <w:spacing w:line="276" w:lineRule="auto"/>
        <w:rPr>
          <w:rFonts w:ascii="Arial" w:hAnsi="Arial" w:cs="Arial"/>
          <w:color w:val="333333"/>
          <w:sz w:val="24"/>
          <w:szCs w:val="24"/>
          <w:lang w:eastAsia="en-IE"/>
        </w:rPr>
      </w:pPr>
      <w:r w:rsidRPr="007F3577">
        <w:rPr>
          <w:rFonts w:ascii="Arial" w:hAnsi="Arial" w:cs="Arial"/>
          <w:color w:val="333333"/>
          <w:sz w:val="24"/>
          <w:szCs w:val="24"/>
          <w:lang w:eastAsia="en-IE"/>
        </w:rPr>
        <w:t xml:space="preserve"> </w:t>
      </w:r>
    </w:p>
    <w:p w14:paraId="5B06E864" w14:textId="78B1D216" w:rsidR="00EE558B" w:rsidRPr="007F3577" w:rsidRDefault="00EE558B" w:rsidP="00464331">
      <w:pPr>
        <w:spacing w:after="160" w:line="259" w:lineRule="auto"/>
        <w:rPr>
          <w:rFonts w:ascii="Arial" w:eastAsiaTheme="majorEastAsia" w:hAnsi="Arial" w:cstheme="majorBidi"/>
          <w:b/>
          <w:bCs/>
          <w:kern w:val="32"/>
          <w:sz w:val="2"/>
          <w:szCs w:val="2"/>
        </w:rPr>
      </w:pPr>
      <w:bookmarkStart w:id="0" w:name="_Many_fund_managers,"/>
      <w:bookmarkStart w:id="1" w:name="_Toc17972071"/>
      <w:bookmarkEnd w:id="0"/>
      <w:r w:rsidRPr="007F3577">
        <w:rPr>
          <w:sz w:val="2"/>
          <w:szCs w:val="2"/>
        </w:rPr>
        <w:br w:type="page"/>
      </w:r>
    </w:p>
    <w:p w14:paraId="58D58077" w14:textId="77777777" w:rsidR="002E014B" w:rsidRPr="007F3577" w:rsidRDefault="002E014B" w:rsidP="00464331">
      <w:pPr>
        <w:pStyle w:val="Heading1"/>
        <w:jc w:val="left"/>
        <w:rPr>
          <w:sz w:val="2"/>
          <w:szCs w:val="2"/>
        </w:rPr>
      </w:pPr>
    </w:p>
    <w:p w14:paraId="4331A08E" w14:textId="77777777" w:rsidR="002E014B" w:rsidRPr="007F3577" w:rsidRDefault="002E014B" w:rsidP="00464331">
      <w:pPr>
        <w:rPr>
          <w:rFonts w:ascii="Arial" w:eastAsiaTheme="majorEastAsia" w:hAnsi="Arial" w:cstheme="majorBidi"/>
          <w:b/>
          <w:bCs/>
          <w:kern w:val="32"/>
          <w:sz w:val="2"/>
          <w:szCs w:val="2"/>
        </w:rPr>
      </w:pPr>
    </w:p>
    <w:p w14:paraId="4D5D1A50" w14:textId="77777777" w:rsidR="002E014B" w:rsidRPr="007F3577" w:rsidRDefault="002E014B" w:rsidP="00464331">
      <w:pPr>
        <w:rPr>
          <w:rFonts w:ascii="Arial" w:eastAsiaTheme="majorEastAsia" w:hAnsi="Arial" w:cstheme="majorBidi"/>
          <w:b/>
          <w:bCs/>
          <w:kern w:val="32"/>
          <w:sz w:val="2"/>
          <w:szCs w:val="2"/>
        </w:rPr>
      </w:pPr>
    </w:p>
    <w:p w14:paraId="64F51FAD" w14:textId="77777777" w:rsidR="002E014B" w:rsidRPr="007F3577" w:rsidRDefault="002E014B" w:rsidP="00464331">
      <w:pPr>
        <w:pStyle w:val="Heading1"/>
        <w:jc w:val="left"/>
        <w:rPr>
          <w:sz w:val="2"/>
          <w:szCs w:val="2"/>
        </w:rPr>
      </w:pPr>
    </w:p>
    <w:p w14:paraId="2ACD2D34" w14:textId="77777777" w:rsidR="002E014B" w:rsidRPr="007F3577" w:rsidRDefault="002E014B" w:rsidP="00464331">
      <w:pPr>
        <w:pStyle w:val="Heading3"/>
        <w:numPr>
          <w:ilvl w:val="0"/>
          <w:numId w:val="2"/>
        </w:numPr>
        <w:ind w:left="567" w:hanging="567"/>
      </w:pPr>
      <w:bookmarkStart w:id="2" w:name="_Toc118903941"/>
      <w:r w:rsidRPr="007F3577">
        <w:t>Many fund managers, particularly overseas managers, are not familiar with the concept of qualifying assets and are poorly equipped to provide data in a suitable format. Is there any obligation on the fund manager(s) or custodian(s) to provide the scheme actuary with the underlying asset data in a readily assimilated format to enable an assessment of the value of qualifying assets for the purposes of calculating the funding standard reserve?</w:t>
      </w:r>
      <w:bookmarkEnd w:id="1"/>
      <w:bookmarkEnd w:id="2"/>
      <w:r w:rsidRPr="007F3577">
        <w:t xml:space="preserve"> </w:t>
      </w:r>
    </w:p>
    <w:p w14:paraId="29A8283D" w14:textId="77777777" w:rsidR="002E014B" w:rsidRPr="007F3577" w:rsidRDefault="002E014B" w:rsidP="00464331">
      <w:pPr>
        <w:pStyle w:val="P1"/>
        <w:spacing w:after="0" w:line="276" w:lineRule="auto"/>
        <w:jc w:val="left"/>
        <w:rPr>
          <w:rFonts w:ascii="Arial" w:hAnsi="Arial" w:cs="Arial"/>
          <w:szCs w:val="24"/>
          <w:lang w:val="en-IE"/>
        </w:rPr>
      </w:pPr>
      <w:r w:rsidRPr="007F3577">
        <w:rPr>
          <w:rFonts w:ascii="Arial" w:hAnsi="Arial" w:cs="Arial"/>
          <w:szCs w:val="24"/>
          <w:lang w:val="en-IE"/>
        </w:rPr>
        <w:t xml:space="preserve">There is no obligation on investment managers etc. to provide information regarding the underlying asset data. If the actuary receives inadequate or insufficient information from the fund manager or custodian and cannot properly identify qualifying assets in line with the Occupational Pension Schemes (Funding Standard Reserve) Regulations, 2013 to 2021 (the Regulations), the assets in question must be assumed to be non-qualifying. </w:t>
      </w:r>
    </w:p>
    <w:p w14:paraId="331C6C26" w14:textId="77777777" w:rsidR="002E014B" w:rsidRPr="007F3577" w:rsidRDefault="002E014B" w:rsidP="00464331">
      <w:pPr>
        <w:pStyle w:val="P1"/>
        <w:spacing w:after="0" w:line="276" w:lineRule="auto"/>
        <w:ind w:left="567" w:hanging="567"/>
        <w:jc w:val="left"/>
        <w:rPr>
          <w:rFonts w:ascii="Arial" w:hAnsi="Arial" w:cs="Arial"/>
          <w:szCs w:val="24"/>
          <w:lang w:val="en-IE"/>
        </w:rPr>
      </w:pPr>
    </w:p>
    <w:p w14:paraId="646DCC4A" w14:textId="77777777" w:rsidR="002E014B" w:rsidRPr="007F3577" w:rsidRDefault="002E014B" w:rsidP="00464331">
      <w:pPr>
        <w:pStyle w:val="Heading3"/>
        <w:numPr>
          <w:ilvl w:val="0"/>
          <w:numId w:val="2"/>
        </w:numPr>
        <w:ind w:left="567" w:hanging="567"/>
      </w:pPr>
      <w:bookmarkStart w:id="3" w:name="_Determining_whether_certain"/>
      <w:bookmarkStart w:id="4" w:name="_Toc17972072"/>
      <w:bookmarkStart w:id="5" w:name="_Toc118903942"/>
      <w:bookmarkEnd w:id="3"/>
      <w:r w:rsidRPr="007F3577">
        <w:t>For certain bonds without a credit rating, determining if they are qualifying assets is assessed by reference to their yield spread over the yield on specific German bunds. Are there any intentions to update these yield differentials?</w:t>
      </w:r>
      <w:bookmarkEnd w:id="4"/>
      <w:bookmarkEnd w:id="5"/>
      <w:r w:rsidRPr="007F3577">
        <w:t xml:space="preserve"> </w:t>
      </w:r>
    </w:p>
    <w:p w14:paraId="1E93C3A6" w14:textId="77777777" w:rsidR="002E014B" w:rsidRPr="007F3577" w:rsidRDefault="002E014B" w:rsidP="00464331">
      <w:pPr>
        <w:rPr>
          <w:rFonts w:ascii="Arial" w:hAnsi="Arial" w:cs="Arial"/>
          <w:sz w:val="24"/>
          <w:szCs w:val="24"/>
        </w:rPr>
      </w:pPr>
      <w:bookmarkStart w:id="6" w:name="_Are_there_any"/>
      <w:bookmarkStart w:id="7" w:name="_Hlk113529476"/>
      <w:bookmarkEnd w:id="6"/>
      <w:r w:rsidRPr="007F3577">
        <w:rPr>
          <w:rFonts w:ascii="Arial" w:hAnsi="Arial" w:cs="Arial"/>
          <w:sz w:val="24"/>
          <w:szCs w:val="24"/>
        </w:rPr>
        <w:t>Changes to the Regulations are a matter for the Department of Social Protection.</w:t>
      </w:r>
      <w:bookmarkEnd w:id="7"/>
      <w:r w:rsidRPr="007F3577">
        <w:rPr>
          <w:rFonts w:ascii="Arial" w:hAnsi="Arial" w:cs="Arial"/>
          <w:sz w:val="24"/>
          <w:szCs w:val="24"/>
        </w:rPr>
        <w:t xml:space="preserve">  </w:t>
      </w:r>
    </w:p>
    <w:p w14:paraId="25C57665" w14:textId="77777777" w:rsidR="002E014B" w:rsidRPr="007F3577" w:rsidRDefault="002E014B" w:rsidP="00464331">
      <w:pPr>
        <w:ind w:left="567" w:hanging="567"/>
        <w:rPr>
          <w:rFonts w:ascii="Arial" w:hAnsi="Arial" w:cs="Arial"/>
          <w:sz w:val="28"/>
          <w:szCs w:val="28"/>
        </w:rPr>
      </w:pPr>
    </w:p>
    <w:p w14:paraId="235BD849" w14:textId="00301BDA" w:rsidR="002E014B" w:rsidRPr="007F3577" w:rsidRDefault="002E014B" w:rsidP="00464331">
      <w:pPr>
        <w:pStyle w:val="Heading3"/>
        <w:numPr>
          <w:ilvl w:val="0"/>
          <w:numId w:val="2"/>
        </w:numPr>
        <w:ind w:left="567" w:hanging="567"/>
      </w:pPr>
      <w:bookmarkStart w:id="8" w:name="_It_can_prove"/>
      <w:bookmarkStart w:id="9" w:name="_The_trustees_hold"/>
      <w:bookmarkStart w:id="10" w:name="_Toc17972075"/>
      <w:bookmarkStart w:id="11" w:name="_Toc118903943"/>
      <w:bookmarkEnd w:id="8"/>
      <w:bookmarkEnd w:id="9"/>
      <w:r w:rsidRPr="007F3577">
        <w:t xml:space="preserve">The trustees hold interest rate swaps as part of a liability driven investment (LDI) strategy to hedge interest rate risk. re such instruments deemed qualifying </w:t>
      </w:r>
      <w:proofErr w:type="gramStart"/>
      <w:r w:rsidRPr="007F3577">
        <w:t>assets?</w:t>
      </w:r>
      <w:bookmarkEnd w:id="10"/>
      <w:bookmarkEnd w:id="11"/>
      <w:proofErr w:type="gramEnd"/>
    </w:p>
    <w:p w14:paraId="308120F0" w14:textId="77777777" w:rsidR="002E014B" w:rsidRPr="007F3577" w:rsidRDefault="002E014B" w:rsidP="00464331">
      <w:pPr>
        <w:pStyle w:val="P1"/>
        <w:spacing w:after="0" w:line="276" w:lineRule="auto"/>
        <w:jc w:val="left"/>
        <w:rPr>
          <w:rFonts w:ascii="Arial" w:hAnsi="Arial" w:cs="Arial"/>
          <w:szCs w:val="24"/>
          <w:lang w:val="en-IE"/>
        </w:rPr>
      </w:pPr>
      <w:r w:rsidRPr="007F3577">
        <w:rPr>
          <w:rFonts w:ascii="Arial" w:hAnsi="Arial" w:cs="Arial"/>
          <w:szCs w:val="24"/>
          <w:lang w:val="en-IE"/>
        </w:rPr>
        <w:t>No, as interest rate swaps do not appear to meet the criteria for qualifying assets set out in the legislation.</w:t>
      </w:r>
    </w:p>
    <w:p w14:paraId="64D95A2C" w14:textId="77777777" w:rsidR="002E014B" w:rsidRPr="007F3577" w:rsidRDefault="002E014B" w:rsidP="00464331">
      <w:pPr>
        <w:pStyle w:val="P1"/>
        <w:spacing w:after="0" w:line="276" w:lineRule="auto"/>
        <w:ind w:left="567" w:hanging="567"/>
        <w:jc w:val="left"/>
        <w:rPr>
          <w:rFonts w:ascii="Arial" w:hAnsi="Arial" w:cs="Arial"/>
          <w:sz w:val="28"/>
          <w:szCs w:val="28"/>
          <w:lang w:val="en-IE"/>
        </w:rPr>
      </w:pPr>
    </w:p>
    <w:p w14:paraId="016532AA" w14:textId="77777777" w:rsidR="002E014B" w:rsidRPr="007F3577" w:rsidRDefault="002E014B" w:rsidP="00464331">
      <w:pPr>
        <w:pStyle w:val="Heading3"/>
        <w:numPr>
          <w:ilvl w:val="0"/>
          <w:numId w:val="2"/>
        </w:numPr>
        <w:ind w:left="567" w:hanging="567"/>
      </w:pPr>
      <w:bookmarkStart w:id="12" w:name="_Are_non-euro_denominated"/>
      <w:bookmarkStart w:id="13" w:name="_Toc17972076"/>
      <w:bookmarkStart w:id="14" w:name="_Toc118903944"/>
      <w:bookmarkEnd w:id="12"/>
      <w:r w:rsidRPr="007F3577">
        <w:t>Are non-euro denominated bonds issued by a non-EU state but hedged to Euro denominated bonds counted as qualifying assets?</w:t>
      </w:r>
      <w:bookmarkEnd w:id="13"/>
      <w:bookmarkEnd w:id="14"/>
    </w:p>
    <w:p w14:paraId="3D935AE5" w14:textId="77777777" w:rsidR="002E014B" w:rsidRPr="007F3577" w:rsidRDefault="002E014B" w:rsidP="00464331">
      <w:pPr>
        <w:pStyle w:val="P1"/>
        <w:spacing w:after="0" w:line="276" w:lineRule="auto"/>
        <w:jc w:val="left"/>
        <w:rPr>
          <w:rFonts w:ascii="Arial" w:hAnsi="Arial" w:cs="Arial"/>
          <w:szCs w:val="24"/>
          <w:lang w:val="en-IE"/>
        </w:rPr>
      </w:pPr>
      <w:r w:rsidRPr="007F3577">
        <w:rPr>
          <w:rFonts w:ascii="Arial" w:hAnsi="Arial" w:cs="Arial"/>
          <w:szCs w:val="24"/>
          <w:lang w:val="en-IE"/>
        </w:rPr>
        <w:t xml:space="preserve">No, as neither asset in this portfolio appears to meet the criteria for qualifying assets set out in the legislation.   </w:t>
      </w:r>
    </w:p>
    <w:p w14:paraId="5912DA5F" w14:textId="77777777" w:rsidR="002E014B" w:rsidRPr="007F3577" w:rsidRDefault="002E014B" w:rsidP="00464331">
      <w:pPr>
        <w:pStyle w:val="P1"/>
        <w:spacing w:after="0" w:line="276" w:lineRule="auto"/>
        <w:ind w:left="567" w:hanging="567"/>
        <w:jc w:val="left"/>
        <w:rPr>
          <w:rFonts w:ascii="Arial" w:hAnsi="Arial" w:cs="Arial"/>
          <w:sz w:val="28"/>
          <w:szCs w:val="28"/>
          <w:lang w:val="en-IE"/>
        </w:rPr>
      </w:pPr>
    </w:p>
    <w:p w14:paraId="43504222" w14:textId="77777777" w:rsidR="002E014B" w:rsidRPr="007F3577" w:rsidRDefault="002E014B" w:rsidP="00464331">
      <w:pPr>
        <w:pStyle w:val="Heading3"/>
        <w:numPr>
          <w:ilvl w:val="0"/>
          <w:numId w:val="2"/>
        </w:numPr>
        <w:ind w:left="567" w:hanging="567"/>
      </w:pPr>
      <w:bookmarkStart w:id="15" w:name="_Does_the_balance"/>
      <w:bookmarkStart w:id="16" w:name="_Toc17972077"/>
      <w:bookmarkStart w:id="17" w:name="_Toc118903945"/>
      <w:bookmarkEnd w:id="15"/>
      <w:r w:rsidRPr="007F3577">
        <w:t>Does the balance in the trustee bank account satisfy the definition of cash for funding standard reserve purposes?</w:t>
      </w:r>
      <w:bookmarkEnd w:id="16"/>
      <w:bookmarkEnd w:id="17"/>
    </w:p>
    <w:p w14:paraId="7199789C" w14:textId="77777777" w:rsidR="002E014B" w:rsidRPr="007F3577" w:rsidRDefault="002E014B" w:rsidP="00464331">
      <w:pPr>
        <w:pStyle w:val="P1"/>
        <w:spacing w:after="0" w:line="276" w:lineRule="auto"/>
        <w:jc w:val="left"/>
        <w:rPr>
          <w:rFonts w:ascii="Arial" w:hAnsi="Arial" w:cs="Arial"/>
          <w:szCs w:val="24"/>
          <w:lang w:val="en-IE"/>
        </w:rPr>
      </w:pPr>
      <w:r w:rsidRPr="007F3577">
        <w:rPr>
          <w:rFonts w:ascii="Arial" w:hAnsi="Arial" w:cs="Arial"/>
          <w:szCs w:val="24"/>
          <w:lang w:val="en-IE"/>
        </w:rPr>
        <w:t>Yes, as deposits with a credit institution are considered a qualifying asset, trustee bank account balances appear to meet the criteria for qualifying assets set out in the legislation.</w:t>
      </w:r>
    </w:p>
    <w:p w14:paraId="27B4F4AE" w14:textId="77777777" w:rsidR="002E014B" w:rsidRPr="007F3577" w:rsidRDefault="002E014B" w:rsidP="00464331">
      <w:pPr>
        <w:pStyle w:val="P1"/>
        <w:spacing w:after="0" w:line="276" w:lineRule="auto"/>
        <w:ind w:left="567" w:hanging="567"/>
        <w:jc w:val="left"/>
        <w:rPr>
          <w:rFonts w:ascii="Arial" w:hAnsi="Arial" w:cs="Arial"/>
          <w:szCs w:val="24"/>
          <w:lang w:val="en-IE"/>
        </w:rPr>
      </w:pPr>
    </w:p>
    <w:p w14:paraId="641B825D" w14:textId="77777777" w:rsidR="002E014B" w:rsidRPr="007F3577" w:rsidRDefault="002E014B" w:rsidP="00464331">
      <w:pPr>
        <w:pStyle w:val="Heading3"/>
        <w:numPr>
          <w:ilvl w:val="0"/>
          <w:numId w:val="2"/>
        </w:numPr>
        <w:ind w:left="567" w:hanging="567"/>
      </w:pPr>
      <w:bookmarkStart w:id="18" w:name="_What_status_do"/>
      <w:bookmarkStart w:id="19" w:name="_Toc17972078"/>
      <w:bookmarkStart w:id="20" w:name="_Toc118903946"/>
      <w:bookmarkEnd w:id="18"/>
      <w:r w:rsidRPr="007F3577">
        <w:t>What status do contributions that have been received but are in transit to an investment manager at the effective date have?</w:t>
      </w:r>
      <w:bookmarkEnd w:id="19"/>
      <w:bookmarkEnd w:id="20"/>
    </w:p>
    <w:p w14:paraId="5559F683" w14:textId="77777777" w:rsidR="002E014B" w:rsidRPr="007F3577" w:rsidRDefault="002E014B" w:rsidP="00464331">
      <w:pPr>
        <w:pStyle w:val="P1"/>
        <w:spacing w:after="0" w:line="276" w:lineRule="auto"/>
        <w:jc w:val="left"/>
        <w:rPr>
          <w:rFonts w:ascii="Arial" w:hAnsi="Arial" w:cs="Arial"/>
          <w:szCs w:val="24"/>
          <w:lang w:val="en-IE"/>
        </w:rPr>
      </w:pPr>
      <w:r w:rsidRPr="007F3577">
        <w:rPr>
          <w:rFonts w:ascii="Arial" w:hAnsi="Arial" w:cs="Arial"/>
          <w:szCs w:val="24"/>
          <w:lang w:val="en-IE"/>
        </w:rPr>
        <w:t xml:space="preserve">Such contributions are in the banking </w:t>
      </w:r>
      <w:proofErr w:type="gramStart"/>
      <w:r w:rsidRPr="007F3577">
        <w:rPr>
          <w:rFonts w:ascii="Arial" w:hAnsi="Arial" w:cs="Arial"/>
          <w:szCs w:val="24"/>
          <w:lang w:val="en-IE"/>
        </w:rPr>
        <w:t>system</w:t>
      </w:r>
      <w:proofErr w:type="gramEnd"/>
      <w:r w:rsidRPr="007F3577">
        <w:rPr>
          <w:rFonts w:ascii="Arial" w:hAnsi="Arial" w:cs="Arial"/>
          <w:szCs w:val="24"/>
          <w:lang w:val="en-IE"/>
        </w:rPr>
        <w:t xml:space="preserve"> and the Pensions Authority (the Authority) has no objection to their being treated in the same way as cash deposits.</w:t>
      </w:r>
    </w:p>
    <w:p w14:paraId="7752D11C" w14:textId="77777777" w:rsidR="002E014B" w:rsidRPr="007F3577" w:rsidRDefault="002E014B" w:rsidP="00464331">
      <w:pPr>
        <w:pStyle w:val="P1"/>
        <w:spacing w:after="0" w:line="276" w:lineRule="auto"/>
        <w:ind w:left="567" w:hanging="567"/>
        <w:jc w:val="left"/>
        <w:rPr>
          <w:rFonts w:ascii="Arial" w:hAnsi="Arial" w:cs="Arial"/>
          <w:szCs w:val="24"/>
          <w:lang w:val="en-IE"/>
        </w:rPr>
      </w:pPr>
    </w:p>
    <w:p w14:paraId="3F2D10FD" w14:textId="77777777" w:rsidR="002E014B" w:rsidRPr="007F3577" w:rsidRDefault="002E014B" w:rsidP="00464331">
      <w:pPr>
        <w:pStyle w:val="Heading3"/>
        <w:numPr>
          <w:ilvl w:val="0"/>
          <w:numId w:val="2"/>
        </w:numPr>
        <w:ind w:left="567" w:hanging="567"/>
      </w:pPr>
      <w:bookmarkStart w:id="21" w:name="_Are_contributions_due"/>
      <w:bookmarkStart w:id="22" w:name="_Toc17972079"/>
      <w:bookmarkStart w:id="23" w:name="_Toc118903947"/>
      <w:bookmarkEnd w:id="21"/>
      <w:r w:rsidRPr="007F3577">
        <w:lastRenderedPageBreak/>
        <w:t>Are contributions due deemed admissible?</w:t>
      </w:r>
      <w:bookmarkEnd w:id="22"/>
      <w:bookmarkEnd w:id="23"/>
    </w:p>
    <w:p w14:paraId="543F841C" w14:textId="77777777" w:rsidR="002E014B" w:rsidRPr="007F3577" w:rsidRDefault="002E014B" w:rsidP="00464331">
      <w:pPr>
        <w:pStyle w:val="P1"/>
        <w:spacing w:after="0" w:line="276" w:lineRule="auto"/>
        <w:jc w:val="left"/>
        <w:rPr>
          <w:rFonts w:ascii="Arial" w:hAnsi="Arial" w:cs="Arial"/>
          <w:szCs w:val="24"/>
          <w:lang w:val="en-IE"/>
        </w:rPr>
      </w:pPr>
      <w:r w:rsidRPr="007F3577">
        <w:rPr>
          <w:rFonts w:ascii="Arial" w:hAnsi="Arial" w:cs="Arial"/>
          <w:szCs w:val="24"/>
          <w:lang w:val="en-IE"/>
        </w:rPr>
        <w:t>No, as contributions due do not appear to meet the criteria for qualifying assets set out in the legislation.</w:t>
      </w:r>
    </w:p>
    <w:p w14:paraId="23BC1B70" w14:textId="77777777" w:rsidR="002E014B" w:rsidRPr="007F3577" w:rsidRDefault="002E014B" w:rsidP="00464331">
      <w:pPr>
        <w:pStyle w:val="P1"/>
        <w:spacing w:after="0" w:line="276" w:lineRule="auto"/>
        <w:ind w:left="567" w:hanging="567"/>
        <w:jc w:val="left"/>
        <w:rPr>
          <w:rFonts w:ascii="Arial" w:hAnsi="Arial" w:cs="Arial"/>
          <w:szCs w:val="24"/>
          <w:lang w:val="en-IE"/>
        </w:rPr>
      </w:pPr>
    </w:p>
    <w:p w14:paraId="0275556F" w14:textId="77777777" w:rsidR="002E014B" w:rsidRPr="007F3577" w:rsidRDefault="002E014B" w:rsidP="00464331">
      <w:pPr>
        <w:pStyle w:val="Heading3"/>
        <w:numPr>
          <w:ilvl w:val="0"/>
          <w:numId w:val="2"/>
        </w:numPr>
        <w:ind w:left="567" w:hanging="567"/>
      </w:pPr>
      <w:bookmarkStart w:id="24" w:name="_Does_the_definition"/>
      <w:bookmarkStart w:id="25" w:name="_Toc17972080"/>
      <w:bookmarkStart w:id="26" w:name="_Toc118903948"/>
      <w:bookmarkEnd w:id="24"/>
      <w:r w:rsidRPr="007F3577">
        <w:t>Does the definition of cash deposit encompass all short duration and high-quality assets typically held within liquidity funds?</w:t>
      </w:r>
      <w:bookmarkEnd w:id="25"/>
      <w:bookmarkEnd w:id="26"/>
    </w:p>
    <w:p w14:paraId="466F3DE0" w14:textId="77777777" w:rsidR="002E014B" w:rsidRPr="007F3577" w:rsidRDefault="002E014B" w:rsidP="00464331">
      <w:pPr>
        <w:pStyle w:val="P1"/>
        <w:spacing w:after="0" w:line="276" w:lineRule="auto"/>
        <w:jc w:val="left"/>
        <w:rPr>
          <w:rFonts w:ascii="Arial" w:hAnsi="Arial" w:cs="Arial"/>
          <w:szCs w:val="24"/>
          <w:lang w:val="en-IE"/>
        </w:rPr>
      </w:pPr>
      <w:r w:rsidRPr="007F3577">
        <w:rPr>
          <w:rFonts w:ascii="Arial" w:hAnsi="Arial" w:cs="Arial"/>
          <w:szCs w:val="24"/>
          <w:lang w:val="en-IE"/>
        </w:rPr>
        <w:t>Not necessarily. The assets in question need to meet the criteria for qualifying assets set out in the legislation before they can be treated as qualifying assets.</w:t>
      </w:r>
    </w:p>
    <w:p w14:paraId="34A58634" w14:textId="77777777" w:rsidR="002E014B" w:rsidRPr="007F3577" w:rsidRDefault="002E014B" w:rsidP="00464331">
      <w:pPr>
        <w:pStyle w:val="P1"/>
        <w:spacing w:after="0" w:line="276" w:lineRule="auto"/>
        <w:ind w:left="567" w:hanging="567"/>
        <w:jc w:val="left"/>
        <w:rPr>
          <w:rFonts w:ascii="Arial" w:hAnsi="Arial" w:cs="Arial"/>
          <w:szCs w:val="24"/>
          <w:lang w:val="en-IE"/>
        </w:rPr>
      </w:pPr>
    </w:p>
    <w:p w14:paraId="4D1A4BD6" w14:textId="77777777" w:rsidR="002E014B" w:rsidRPr="007F3577" w:rsidRDefault="002E014B" w:rsidP="00464331">
      <w:pPr>
        <w:pStyle w:val="Heading3"/>
        <w:numPr>
          <w:ilvl w:val="0"/>
          <w:numId w:val="2"/>
        </w:numPr>
        <w:ind w:left="567" w:hanging="567"/>
      </w:pPr>
      <w:bookmarkStart w:id="27" w:name="_The_trustees_are"/>
      <w:bookmarkStart w:id="28" w:name="_Toc17972081"/>
      <w:bookmarkStart w:id="29" w:name="_Toc118903949"/>
      <w:bookmarkEnd w:id="27"/>
      <w:r w:rsidRPr="007F3577">
        <w:t>The trustees are invested in an absolute return fund that makes widespread use of derivatives. The underlying backing collateral asset to these derivatives is cash. Are these cash holdings deemed admissible?</w:t>
      </w:r>
      <w:bookmarkEnd w:id="28"/>
      <w:bookmarkEnd w:id="29"/>
    </w:p>
    <w:p w14:paraId="0DCA82C3" w14:textId="77777777" w:rsidR="002E014B" w:rsidRPr="007F3577" w:rsidRDefault="002E014B" w:rsidP="00464331">
      <w:pPr>
        <w:pStyle w:val="P1"/>
        <w:spacing w:after="0" w:line="276" w:lineRule="auto"/>
        <w:jc w:val="left"/>
        <w:rPr>
          <w:rFonts w:ascii="Arial" w:hAnsi="Arial" w:cs="Arial"/>
          <w:szCs w:val="24"/>
          <w:lang w:val="en-IE"/>
        </w:rPr>
      </w:pPr>
      <w:r w:rsidRPr="007F3577">
        <w:rPr>
          <w:rFonts w:ascii="Arial" w:hAnsi="Arial" w:cs="Arial"/>
          <w:szCs w:val="24"/>
          <w:lang w:val="en-IE"/>
        </w:rPr>
        <w:t>Not necessarily. In the Authority’s view, a cash holding (or any asset) is potentially qualifying only if the holding is unencumbered.</w:t>
      </w:r>
    </w:p>
    <w:p w14:paraId="2D071E99" w14:textId="77777777" w:rsidR="002E014B" w:rsidRPr="007F3577" w:rsidRDefault="002E014B" w:rsidP="00464331">
      <w:pPr>
        <w:pStyle w:val="Heading1"/>
        <w:ind w:left="567" w:hanging="567"/>
        <w:jc w:val="left"/>
        <w:rPr>
          <w:rFonts w:cs="Arial"/>
          <w:szCs w:val="24"/>
        </w:rPr>
      </w:pPr>
    </w:p>
    <w:p w14:paraId="052DB06C" w14:textId="77777777" w:rsidR="002E014B" w:rsidRPr="007F3577" w:rsidRDefault="002E014B" w:rsidP="00464331">
      <w:pPr>
        <w:pStyle w:val="Heading3"/>
        <w:numPr>
          <w:ilvl w:val="0"/>
          <w:numId w:val="2"/>
        </w:numPr>
        <w:ind w:left="567" w:hanging="567"/>
      </w:pPr>
      <w:bookmarkStart w:id="30" w:name="_The_trustees_are_1"/>
      <w:bookmarkStart w:id="31" w:name="_Toc17972082"/>
      <w:bookmarkStart w:id="32" w:name="_Toc118903950"/>
      <w:bookmarkEnd w:id="30"/>
      <w:r w:rsidRPr="007F3577">
        <w:t>The trustees are invested in an absolute return bond fund that holds long and short positions in qualifying bonds. Are the short positions deemed admissible?</w:t>
      </w:r>
      <w:bookmarkEnd w:id="31"/>
      <w:bookmarkEnd w:id="32"/>
    </w:p>
    <w:p w14:paraId="5A4EFE4C" w14:textId="77777777" w:rsidR="002E014B" w:rsidRPr="007F3577" w:rsidRDefault="002E014B" w:rsidP="00464331">
      <w:pPr>
        <w:pStyle w:val="P1"/>
        <w:spacing w:after="0" w:line="276" w:lineRule="auto"/>
        <w:jc w:val="left"/>
        <w:rPr>
          <w:rFonts w:ascii="Arial" w:hAnsi="Arial" w:cs="Arial"/>
          <w:szCs w:val="24"/>
          <w:lang w:val="en-IE"/>
        </w:rPr>
      </w:pPr>
      <w:r w:rsidRPr="007F3577">
        <w:rPr>
          <w:rFonts w:ascii="Arial" w:hAnsi="Arial" w:cs="Arial"/>
          <w:szCs w:val="24"/>
          <w:lang w:val="en-IE"/>
        </w:rPr>
        <w:t>No, as derivative holdings do not appear to meet the criteria for qualifying assets set out in the legislation.</w:t>
      </w:r>
    </w:p>
    <w:p w14:paraId="237E86D2" w14:textId="77777777" w:rsidR="002E014B" w:rsidRPr="007F3577" w:rsidRDefault="002E014B" w:rsidP="00464331">
      <w:pPr>
        <w:pStyle w:val="P1"/>
        <w:spacing w:after="0" w:line="276" w:lineRule="auto"/>
        <w:ind w:left="567" w:hanging="567"/>
        <w:jc w:val="left"/>
        <w:rPr>
          <w:rFonts w:ascii="Arial" w:hAnsi="Arial" w:cs="Arial"/>
          <w:sz w:val="28"/>
          <w:szCs w:val="28"/>
          <w:lang w:val="en-IE"/>
        </w:rPr>
      </w:pPr>
      <w:bookmarkStart w:id="33" w:name="_The_current_funding"/>
      <w:bookmarkEnd w:id="33"/>
    </w:p>
    <w:p w14:paraId="4806FEA1" w14:textId="77777777" w:rsidR="002E014B" w:rsidRPr="007F3577" w:rsidRDefault="002E014B" w:rsidP="00464331">
      <w:pPr>
        <w:pStyle w:val="Heading3"/>
        <w:numPr>
          <w:ilvl w:val="0"/>
          <w:numId w:val="2"/>
        </w:numPr>
        <w:ind w:left="567" w:hanging="567"/>
      </w:pPr>
      <w:bookmarkStart w:id="34" w:name="_Are_sovereign_bonds"/>
      <w:bookmarkStart w:id="35" w:name="_Toc17972084"/>
      <w:bookmarkStart w:id="36" w:name="_Toc118903951"/>
      <w:bookmarkEnd w:id="34"/>
      <w:r w:rsidRPr="007F3577">
        <w:t>Are sovereign bonds and sovereign annuities deemed qualifying assets?</w:t>
      </w:r>
      <w:bookmarkEnd w:id="35"/>
      <w:bookmarkEnd w:id="36"/>
    </w:p>
    <w:p w14:paraId="2E8ABDF9" w14:textId="77777777" w:rsidR="002E014B" w:rsidRPr="007F3577" w:rsidRDefault="002E014B" w:rsidP="00464331">
      <w:pPr>
        <w:pStyle w:val="P1"/>
        <w:spacing w:after="0" w:line="276" w:lineRule="auto"/>
        <w:jc w:val="left"/>
        <w:rPr>
          <w:rFonts w:ascii="Arial" w:hAnsi="Arial" w:cs="Arial"/>
          <w:szCs w:val="24"/>
          <w:lang w:val="en-IE"/>
        </w:rPr>
      </w:pPr>
      <w:r w:rsidRPr="007F3577">
        <w:rPr>
          <w:rFonts w:ascii="Arial" w:hAnsi="Arial" w:cs="Arial"/>
          <w:szCs w:val="24"/>
          <w:lang w:val="en-IE"/>
        </w:rPr>
        <w:t>Yes, as these assets appear to meet the criteria for qualifying assets set out in the legislation.</w:t>
      </w:r>
    </w:p>
    <w:p w14:paraId="1BA6C031" w14:textId="77777777" w:rsidR="002E014B" w:rsidRPr="007F3577" w:rsidRDefault="002E014B" w:rsidP="00464331">
      <w:pPr>
        <w:pStyle w:val="P1"/>
        <w:spacing w:after="0" w:line="276" w:lineRule="auto"/>
        <w:ind w:left="567" w:hanging="567"/>
        <w:jc w:val="left"/>
        <w:rPr>
          <w:rFonts w:ascii="Arial" w:hAnsi="Arial" w:cs="Arial"/>
          <w:szCs w:val="24"/>
          <w:lang w:val="en-IE"/>
        </w:rPr>
      </w:pPr>
    </w:p>
    <w:p w14:paraId="6727DD42" w14:textId="77777777" w:rsidR="002E014B" w:rsidRPr="007F3577" w:rsidRDefault="002E014B" w:rsidP="00464331">
      <w:pPr>
        <w:pStyle w:val="Heading3"/>
        <w:numPr>
          <w:ilvl w:val="0"/>
          <w:numId w:val="2"/>
        </w:numPr>
        <w:ind w:left="567" w:hanging="567"/>
      </w:pPr>
      <w:bookmarkStart w:id="37" w:name="_How_should_the"/>
      <w:bookmarkStart w:id="38" w:name="_Toc17972085"/>
      <w:bookmarkStart w:id="39" w:name="_Toc118903952"/>
      <w:bookmarkEnd w:id="37"/>
      <w:r w:rsidRPr="007F3577">
        <w:t>How should the impact of a 0.5% fall in interest rates on the liabilities be determined, in respect of active members and deferred members?</w:t>
      </w:r>
      <w:bookmarkEnd w:id="38"/>
      <w:bookmarkEnd w:id="39"/>
    </w:p>
    <w:p w14:paraId="2422D862" w14:textId="77777777" w:rsidR="002E014B" w:rsidRPr="007F3577" w:rsidRDefault="002E014B" w:rsidP="00464331">
      <w:pPr>
        <w:pStyle w:val="P1"/>
        <w:spacing w:after="0" w:line="276" w:lineRule="auto"/>
        <w:jc w:val="left"/>
        <w:rPr>
          <w:rFonts w:ascii="Arial" w:hAnsi="Arial" w:cs="Arial"/>
          <w:szCs w:val="24"/>
          <w:lang w:val="en-IE"/>
        </w:rPr>
      </w:pPr>
      <w:r w:rsidRPr="007F3577">
        <w:rPr>
          <w:rFonts w:ascii="Arial" w:hAnsi="Arial" w:cs="Arial"/>
          <w:szCs w:val="24"/>
          <w:lang w:val="en-IE"/>
        </w:rPr>
        <w:t xml:space="preserve">In the Authority’s view, the impact in respect of active members and deferred members is determined by calculating the effect of the change in the MVA factor, set out in the Authority’s section 34 guidance, which would arise from a fall in bond yields. </w:t>
      </w:r>
    </w:p>
    <w:p w14:paraId="67D3DCB9" w14:textId="77777777" w:rsidR="002E014B" w:rsidRPr="007F3577" w:rsidRDefault="002E014B" w:rsidP="00464331">
      <w:pPr>
        <w:pStyle w:val="P1"/>
        <w:spacing w:after="0" w:line="276" w:lineRule="auto"/>
        <w:ind w:left="567" w:hanging="567"/>
        <w:jc w:val="left"/>
        <w:rPr>
          <w:rFonts w:ascii="Arial" w:hAnsi="Arial" w:cs="Arial"/>
          <w:szCs w:val="24"/>
          <w:lang w:val="en-IE"/>
        </w:rPr>
      </w:pPr>
    </w:p>
    <w:p w14:paraId="45C79D18" w14:textId="77777777" w:rsidR="002E014B" w:rsidRPr="007F3577" w:rsidRDefault="002E014B" w:rsidP="00464331">
      <w:pPr>
        <w:pStyle w:val="Heading3"/>
        <w:numPr>
          <w:ilvl w:val="0"/>
          <w:numId w:val="2"/>
        </w:numPr>
        <w:ind w:left="567" w:hanging="567"/>
      </w:pPr>
      <w:bookmarkStart w:id="40" w:name="_Can_the_funding"/>
      <w:bookmarkStart w:id="41" w:name="_Toc17972086"/>
      <w:bookmarkStart w:id="42" w:name="_Toc118903953"/>
      <w:bookmarkEnd w:id="40"/>
      <w:r w:rsidRPr="007F3577">
        <w:t xml:space="preserve">Can the funding standard reserve component </w:t>
      </w:r>
      <w:proofErr w:type="gramStart"/>
      <w:r w:rsidRPr="007F3577">
        <w:t>calculated</w:t>
      </w:r>
      <w:proofErr w:type="gramEnd"/>
      <w:r w:rsidRPr="007F3577">
        <w:t xml:space="preserve"> under section 44(2)(b) of the Pensions Act, 1990, as amended, i.e., the ‘interest rate stress test’, be negative?</w:t>
      </w:r>
      <w:bookmarkEnd w:id="41"/>
      <w:bookmarkEnd w:id="42"/>
    </w:p>
    <w:p w14:paraId="2A830774" w14:textId="77777777" w:rsidR="002E014B" w:rsidRPr="007F3577" w:rsidRDefault="002E014B" w:rsidP="00464331">
      <w:pPr>
        <w:pStyle w:val="P1"/>
        <w:spacing w:after="0" w:line="276" w:lineRule="auto"/>
        <w:jc w:val="left"/>
        <w:rPr>
          <w:rFonts w:ascii="Arial" w:hAnsi="Arial" w:cs="Arial"/>
          <w:szCs w:val="24"/>
          <w:lang w:val="en-IE"/>
        </w:rPr>
      </w:pPr>
      <w:r w:rsidRPr="007F3577">
        <w:rPr>
          <w:rFonts w:ascii="Arial" w:hAnsi="Arial" w:cs="Arial"/>
          <w:szCs w:val="24"/>
          <w:lang w:val="en-IE"/>
        </w:rPr>
        <w:t>In the Authority’s view, a negative value for the interest rate component is possible.</w:t>
      </w:r>
    </w:p>
    <w:p w14:paraId="7FC1B824" w14:textId="77777777" w:rsidR="002E014B" w:rsidRPr="007F3577" w:rsidRDefault="002E014B" w:rsidP="00464331">
      <w:pPr>
        <w:pStyle w:val="P1"/>
        <w:spacing w:after="0" w:line="276" w:lineRule="auto"/>
        <w:ind w:left="567" w:hanging="567"/>
        <w:jc w:val="left"/>
        <w:rPr>
          <w:rFonts w:ascii="Arial" w:hAnsi="Arial" w:cs="Arial"/>
          <w:szCs w:val="24"/>
          <w:lang w:val="en-IE"/>
        </w:rPr>
      </w:pPr>
    </w:p>
    <w:p w14:paraId="45C23676" w14:textId="77777777" w:rsidR="002E014B" w:rsidRPr="007F3577" w:rsidRDefault="002E014B" w:rsidP="00464331">
      <w:pPr>
        <w:pStyle w:val="Heading3"/>
        <w:numPr>
          <w:ilvl w:val="0"/>
          <w:numId w:val="2"/>
        </w:numPr>
        <w:ind w:left="567" w:hanging="567"/>
      </w:pPr>
      <w:bookmarkStart w:id="43" w:name="_The_assets_of"/>
      <w:bookmarkStart w:id="44" w:name="_Toc17972087"/>
      <w:bookmarkStart w:id="45" w:name="_Toc118903954"/>
      <w:bookmarkEnd w:id="43"/>
      <w:r w:rsidRPr="007F3577">
        <w:t>The assets of the scheme are partly invested in a paid-up with profits policy. Can credit be taken for the guarantee implicit in such an asset when determining the risk reserve?</w:t>
      </w:r>
      <w:bookmarkEnd w:id="44"/>
      <w:bookmarkEnd w:id="45"/>
    </w:p>
    <w:p w14:paraId="70452E5A" w14:textId="77777777" w:rsidR="002E014B" w:rsidRPr="007F3577" w:rsidRDefault="002E014B" w:rsidP="00464331">
      <w:pPr>
        <w:pStyle w:val="P1"/>
        <w:spacing w:after="0" w:line="276" w:lineRule="auto"/>
        <w:jc w:val="left"/>
        <w:rPr>
          <w:rFonts w:ascii="Arial" w:hAnsi="Arial" w:cs="Arial"/>
          <w:szCs w:val="24"/>
          <w:lang w:val="en-IE"/>
        </w:rPr>
      </w:pPr>
      <w:r w:rsidRPr="007F3577">
        <w:rPr>
          <w:rFonts w:ascii="Arial" w:hAnsi="Arial" w:cs="Arial"/>
          <w:szCs w:val="24"/>
          <w:lang w:val="en-IE"/>
        </w:rPr>
        <w:t xml:space="preserve">In the Authority’s view, insurance policies should be considered on a look-through basis and can be considered qualifying assets to the extent that the underlying investments of the with profits fund meet the criteria for qualifying assets.  </w:t>
      </w:r>
    </w:p>
    <w:p w14:paraId="6E7C8115" w14:textId="5A234651" w:rsidR="002E014B" w:rsidRPr="007F3577" w:rsidRDefault="002E014B" w:rsidP="00464331"/>
    <w:sectPr w:rsidR="002E014B" w:rsidRPr="007F3577" w:rsidSect="00FF5DF0">
      <w:footerReference w:type="default" r:id="rId11"/>
      <w:type w:val="continuous"/>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70CB9" w14:textId="77777777" w:rsidR="002E014B" w:rsidRDefault="002E014B" w:rsidP="002E014B">
      <w:r>
        <w:separator/>
      </w:r>
    </w:p>
  </w:endnote>
  <w:endnote w:type="continuationSeparator" w:id="0">
    <w:p w14:paraId="477C7298" w14:textId="77777777" w:rsidR="002E014B" w:rsidRDefault="002E014B" w:rsidP="002E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B7B7" w14:textId="289F63C0" w:rsidR="008925F5" w:rsidRPr="008925F5" w:rsidRDefault="008925F5" w:rsidP="008925F5">
    <w:pPr>
      <w:pStyle w:val="Footer"/>
      <w:jc w:val="right"/>
      <w:rPr>
        <w:rFonts w:ascii="Arial" w:hAnsi="Arial" w:cs="Arial"/>
      </w:rPr>
    </w:pPr>
    <w:r w:rsidRPr="008925F5">
      <w:rPr>
        <w:rFonts w:ascii="Arial" w:hAnsi="Arial" w:cs="Arial"/>
      </w:rPr>
      <w:t>Date last updated: November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231826"/>
      <w:docPartObj>
        <w:docPartGallery w:val="Page Numbers (Bottom of Page)"/>
        <w:docPartUnique/>
      </w:docPartObj>
    </w:sdtPr>
    <w:sdtEndPr/>
    <w:sdtContent>
      <w:sdt>
        <w:sdtPr>
          <w:id w:val="1728636285"/>
          <w:docPartObj>
            <w:docPartGallery w:val="Page Numbers (Top of Page)"/>
            <w:docPartUnique/>
          </w:docPartObj>
        </w:sdtPr>
        <w:sdtEndPr/>
        <w:sdtContent>
          <w:p w14:paraId="64B091A4" w14:textId="0919DB99" w:rsidR="008925F5" w:rsidRDefault="008925F5" w:rsidP="008925F5">
            <w:pPr>
              <w:pStyle w:val="Footer"/>
              <w:jc w:val="center"/>
            </w:pPr>
            <w:r w:rsidRPr="008925F5">
              <w:rPr>
                <w:rFonts w:ascii="Arial" w:hAnsi="Arial" w:cs="Arial"/>
                <w:lang w:val="en-GB"/>
              </w:rPr>
              <w:t xml:space="preserve">Page </w:t>
            </w:r>
            <w:r w:rsidRPr="008925F5">
              <w:rPr>
                <w:rFonts w:ascii="Arial" w:hAnsi="Arial" w:cs="Arial"/>
                <w:b/>
                <w:bCs/>
              </w:rPr>
              <w:fldChar w:fldCharType="begin"/>
            </w:r>
            <w:r w:rsidRPr="008925F5">
              <w:rPr>
                <w:rFonts w:ascii="Arial" w:hAnsi="Arial" w:cs="Arial"/>
                <w:b/>
                <w:bCs/>
              </w:rPr>
              <w:instrText>PAGE</w:instrText>
            </w:r>
            <w:r w:rsidRPr="008925F5">
              <w:rPr>
                <w:rFonts w:ascii="Arial" w:hAnsi="Arial" w:cs="Arial"/>
                <w:b/>
                <w:bCs/>
              </w:rPr>
              <w:fldChar w:fldCharType="separate"/>
            </w:r>
            <w:r w:rsidRPr="008925F5">
              <w:rPr>
                <w:rFonts w:ascii="Arial" w:hAnsi="Arial" w:cs="Arial"/>
                <w:b/>
                <w:bCs/>
                <w:lang w:val="en-GB"/>
              </w:rPr>
              <w:t>2</w:t>
            </w:r>
            <w:r w:rsidRPr="008925F5">
              <w:rPr>
                <w:rFonts w:ascii="Arial" w:hAnsi="Arial" w:cs="Arial"/>
                <w:b/>
                <w:bCs/>
              </w:rPr>
              <w:fldChar w:fldCharType="end"/>
            </w:r>
            <w:r w:rsidRPr="008925F5">
              <w:rPr>
                <w:rFonts w:ascii="Arial" w:hAnsi="Arial" w:cs="Arial"/>
                <w:lang w:val="en-GB"/>
              </w:rPr>
              <w:t xml:space="preserve"> of </w:t>
            </w:r>
            <w:r w:rsidRPr="008925F5">
              <w:rPr>
                <w:rFonts w:ascii="Arial" w:hAnsi="Arial" w:cs="Arial"/>
                <w:b/>
                <w:bCs/>
              </w:rPr>
              <w:fldChar w:fldCharType="begin"/>
            </w:r>
            <w:r w:rsidRPr="008925F5">
              <w:rPr>
                <w:rFonts w:ascii="Arial" w:hAnsi="Arial" w:cs="Arial"/>
                <w:b/>
                <w:bCs/>
              </w:rPr>
              <w:instrText>NUMPAGES</w:instrText>
            </w:r>
            <w:r w:rsidRPr="008925F5">
              <w:rPr>
                <w:rFonts w:ascii="Arial" w:hAnsi="Arial" w:cs="Arial"/>
                <w:b/>
                <w:bCs/>
              </w:rPr>
              <w:fldChar w:fldCharType="separate"/>
            </w:r>
            <w:r w:rsidRPr="008925F5">
              <w:rPr>
                <w:rFonts w:ascii="Arial" w:hAnsi="Arial" w:cs="Arial"/>
                <w:b/>
                <w:bCs/>
                <w:lang w:val="en-GB"/>
              </w:rPr>
              <w:t>2</w:t>
            </w:r>
            <w:r w:rsidRPr="008925F5">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4232" w14:textId="77777777" w:rsidR="002E014B" w:rsidRDefault="002E014B" w:rsidP="002E014B">
      <w:r>
        <w:separator/>
      </w:r>
    </w:p>
  </w:footnote>
  <w:footnote w:type="continuationSeparator" w:id="0">
    <w:p w14:paraId="6771282D" w14:textId="77777777" w:rsidR="002E014B" w:rsidRDefault="002E014B" w:rsidP="002E0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4231" w14:textId="2088782F" w:rsidR="005272DB" w:rsidRDefault="005272DB" w:rsidP="005272DB">
    <w:pPr>
      <w:pStyle w:val="Header"/>
      <w:jc w:val="center"/>
    </w:pPr>
    <w:r>
      <w:rPr>
        <w:noProof/>
        <w:lang w:val="en-GB"/>
      </w:rPr>
      <w:drawing>
        <wp:inline distT="0" distB="0" distL="0" distR="0" wp14:anchorId="42DF9D3D" wp14:editId="47FF19AA">
          <wp:extent cx="1619250" cy="542925"/>
          <wp:effectExtent l="0" t="0" r="0" b="9525"/>
          <wp:docPr id="15" name="Picture 1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2E776C5B" w14:textId="77777777" w:rsidR="005272DB" w:rsidRDefault="005272DB" w:rsidP="005272D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8BCE" w14:textId="77777777" w:rsidR="00464331" w:rsidRDefault="00D70AC2" w:rsidP="00907157">
    <w:pPr>
      <w:pStyle w:val="Header"/>
      <w:jc w:val="center"/>
    </w:pPr>
    <w:r>
      <w:rPr>
        <w:noProof/>
        <w:lang w:val="en-GB"/>
      </w:rPr>
      <w:drawing>
        <wp:inline distT="0" distB="0" distL="0" distR="0" wp14:anchorId="02FBD13C" wp14:editId="1196AE76">
          <wp:extent cx="1619250" cy="542925"/>
          <wp:effectExtent l="0" t="0" r="0" b="9525"/>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49DA5E30" w14:textId="77777777" w:rsidR="00464331" w:rsidRDefault="00464331" w:rsidP="009071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14060"/>
    <w:multiLevelType w:val="hybridMultilevel"/>
    <w:tmpl w:val="0238737E"/>
    <w:lvl w:ilvl="0" w:tplc="24261E5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42C96354"/>
    <w:multiLevelType w:val="hybridMultilevel"/>
    <w:tmpl w:val="7C9E51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54929555">
    <w:abstractNumId w:val="0"/>
  </w:num>
  <w:num w:numId="2" w16cid:durableId="963343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4B"/>
    <w:rsid w:val="002E014B"/>
    <w:rsid w:val="00383D5A"/>
    <w:rsid w:val="003C6BC2"/>
    <w:rsid w:val="00457EA7"/>
    <w:rsid w:val="00464331"/>
    <w:rsid w:val="004D2D07"/>
    <w:rsid w:val="005272DB"/>
    <w:rsid w:val="007F3577"/>
    <w:rsid w:val="008925F5"/>
    <w:rsid w:val="008B2657"/>
    <w:rsid w:val="009A0498"/>
    <w:rsid w:val="00AA24E3"/>
    <w:rsid w:val="00D70AC2"/>
    <w:rsid w:val="00E20E4E"/>
    <w:rsid w:val="00EE558B"/>
    <w:rsid w:val="00FF5D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F61F"/>
  <w15:chartTrackingRefBased/>
  <w15:docId w15:val="{5FB5C867-7420-4A0D-9339-3FD4492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31"/>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2E014B"/>
    <w:pPr>
      <w:keepNext/>
      <w:spacing w:line="276" w:lineRule="auto"/>
      <w:jc w:val="both"/>
      <w:outlineLvl w:val="0"/>
    </w:pPr>
    <w:rPr>
      <w:rFonts w:ascii="Arial" w:eastAsiaTheme="majorEastAsia" w:hAnsi="Arial" w:cstheme="majorBidi"/>
      <w:b/>
      <w:bCs/>
      <w:kern w:val="32"/>
      <w:sz w:val="24"/>
      <w:szCs w:val="32"/>
    </w:rPr>
  </w:style>
  <w:style w:type="paragraph" w:styleId="Heading3">
    <w:name w:val="heading 3"/>
    <w:basedOn w:val="Normal"/>
    <w:next w:val="Normal"/>
    <w:link w:val="Heading3Char"/>
    <w:uiPriority w:val="9"/>
    <w:unhideWhenUsed/>
    <w:qFormat/>
    <w:rsid w:val="00464331"/>
    <w:pPr>
      <w:keepNext/>
      <w:keepLines/>
      <w:spacing w:before="4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4B"/>
    <w:rPr>
      <w:rFonts w:ascii="Arial" w:eastAsiaTheme="majorEastAsia" w:hAnsi="Arial" w:cstheme="majorBidi"/>
      <w:b/>
      <w:bCs/>
      <w:kern w:val="32"/>
      <w:sz w:val="24"/>
      <w:szCs w:val="32"/>
      <w:lang w:val="en-US" w:eastAsia="en-GB"/>
    </w:rPr>
  </w:style>
  <w:style w:type="paragraph" w:customStyle="1" w:styleId="H1">
    <w:name w:val="H1"/>
    <w:basedOn w:val="Normal"/>
    <w:rsid w:val="002E014B"/>
    <w:pPr>
      <w:spacing w:before="240" w:after="240"/>
      <w:jc w:val="center"/>
    </w:pPr>
    <w:rPr>
      <w:b/>
      <w:sz w:val="24"/>
      <w:lang w:val="en-GB"/>
    </w:rPr>
  </w:style>
  <w:style w:type="paragraph" w:customStyle="1" w:styleId="P1">
    <w:name w:val="P1"/>
    <w:basedOn w:val="Normal"/>
    <w:rsid w:val="002E014B"/>
    <w:pPr>
      <w:spacing w:after="240"/>
      <w:jc w:val="both"/>
    </w:pPr>
    <w:rPr>
      <w:sz w:val="24"/>
      <w:lang w:val="en-GB"/>
    </w:rPr>
  </w:style>
  <w:style w:type="paragraph" w:styleId="Header">
    <w:name w:val="header"/>
    <w:basedOn w:val="Normal"/>
    <w:link w:val="HeaderChar"/>
    <w:rsid w:val="002E014B"/>
    <w:pPr>
      <w:tabs>
        <w:tab w:val="center" w:pos="4153"/>
        <w:tab w:val="right" w:pos="8306"/>
      </w:tabs>
    </w:pPr>
  </w:style>
  <w:style w:type="character" w:customStyle="1" w:styleId="HeaderChar">
    <w:name w:val="Header Char"/>
    <w:basedOn w:val="DefaultParagraphFont"/>
    <w:link w:val="Header"/>
    <w:rsid w:val="002E014B"/>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rsid w:val="002E014B"/>
    <w:pPr>
      <w:tabs>
        <w:tab w:val="center" w:pos="4153"/>
        <w:tab w:val="right" w:pos="8306"/>
      </w:tabs>
    </w:pPr>
  </w:style>
  <w:style w:type="character" w:customStyle="1" w:styleId="FooterChar">
    <w:name w:val="Footer Char"/>
    <w:basedOn w:val="DefaultParagraphFont"/>
    <w:link w:val="Footer"/>
    <w:uiPriority w:val="99"/>
    <w:rsid w:val="002E014B"/>
    <w:rPr>
      <w:rFonts w:ascii="Times New Roman" w:eastAsia="Times New Roman" w:hAnsi="Times New Roman" w:cs="Times New Roman"/>
      <w:sz w:val="20"/>
      <w:szCs w:val="20"/>
      <w:lang w:val="en-US" w:eastAsia="en-GB"/>
    </w:rPr>
  </w:style>
  <w:style w:type="character" w:styleId="Hyperlink">
    <w:name w:val="Hyperlink"/>
    <w:uiPriority w:val="99"/>
    <w:unhideWhenUsed/>
    <w:rsid w:val="002E014B"/>
    <w:rPr>
      <w:color w:val="0000FF"/>
      <w:u w:val="single"/>
    </w:rPr>
  </w:style>
  <w:style w:type="table" w:styleId="TableGrid">
    <w:name w:val="Table Grid"/>
    <w:basedOn w:val="TableNormal"/>
    <w:uiPriority w:val="59"/>
    <w:rsid w:val="002E014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E014B"/>
    <w:pPr>
      <w:tabs>
        <w:tab w:val="left" w:pos="630"/>
        <w:tab w:val="right" w:leader="dot" w:pos="8630"/>
      </w:tabs>
      <w:ind w:left="435" w:hanging="435"/>
      <w:jc w:val="both"/>
    </w:pPr>
    <w:rPr>
      <w:rFonts w:ascii="Arial" w:hAnsi="Arial" w:cs="Arial"/>
      <w:noProof/>
      <w:sz w:val="24"/>
      <w:szCs w:val="24"/>
    </w:rPr>
  </w:style>
  <w:style w:type="paragraph" w:styleId="TOCHeading">
    <w:name w:val="TOC Heading"/>
    <w:basedOn w:val="Heading1"/>
    <w:next w:val="Normal"/>
    <w:uiPriority w:val="39"/>
    <w:unhideWhenUsed/>
    <w:qFormat/>
    <w:rsid w:val="002E014B"/>
    <w:pPr>
      <w:keepLines/>
      <w:spacing w:before="240" w:line="259" w:lineRule="auto"/>
      <w:jc w:val="left"/>
      <w:outlineLvl w:val="9"/>
    </w:pPr>
    <w:rPr>
      <w:rFonts w:asciiTheme="majorHAnsi" w:hAnsiTheme="majorHAnsi"/>
      <w:b w:val="0"/>
      <w:bCs w:val="0"/>
      <w:color w:val="2F5496" w:themeColor="accent1" w:themeShade="BF"/>
      <w:kern w:val="0"/>
      <w:sz w:val="32"/>
      <w:lang w:eastAsia="en-IE"/>
    </w:rPr>
  </w:style>
  <w:style w:type="character" w:customStyle="1" w:styleId="Heading3Char">
    <w:name w:val="Heading 3 Char"/>
    <w:basedOn w:val="DefaultParagraphFont"/>
    <w:link w:val="Heading3"/>
    <w:uiPriority w:val="9"/>
    <w:rsid w:val="00464331"/>
    <w:rPr>
      <w:rFonts w:ascii="Arial" w:eastAsiaTheme="majorEastAsia" w:hAnsi="Arial" w:cstheme="majorBidi"/>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BE525-1B29-4BBD-BC96-4706A329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Pensions Authority</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Aideen Bugler (Pensions Authority)</dc:creator>
  <cp:keywords/>
  <dc:description/>
  <cp:lastModifiedBy>Aideen Bugler (Pensions Authority)</cp:lastModifiedBy>
  <cp:revision>3</cp:revision>
  <cp:lastPrinted>2022-11-16T10:16:00Z</cp:lastPrinted>
  <dcterms:created xsi:type="dcterms:W3CDTF">2026-04-07T14:47:00Z</dcterms:created>
  <dcterms:modified xsi:type="dcterms:W3CDTF">2026-04-07T14:55:00Z</dcterms:modified>
</cp:coreProperties>
</file>