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3BCB89" w14:textId="4369A8EC" w:rsidR="00F827AF" w:rsidRDefault="00F827AF" w:rsidP="00F827AF">
      <w:pPr>
        <w:jc w:val="center"/>
        <w:rPr>
          <w:noProof/>
          <w:lang w:eastAsia="en-IE"/>
        </w:rPr>
      </w:pPr>
    </w:p>
    <w:p w14:paraId="2AFC427A" w14:textId="77777777" w:rsidR="00F827AF" w:rsidRDefault="00F827AF" w:rsidP="00F827AF">
      <w:pPr>
        <w:jc w:val="center"/>
        <w:rPr>
          <w:noProof/>
          <w:sz w:val="24"/>
          <w:szCs w:val="24"/>
          <w:lang w:eastAsia="en-IE"/>
        </w:rPr>
      </w:pPr>
    </w:p>
    <w:p w14:paraId="29E55A4D" w14:textId="68E7F1EE" w:rsidR="00F827AF" w:rsidRDefault="00781619" w:rsidP="00F827AF">
      <w:pPr>
        <w:jc w:val="center"/>
        <w:rPr>
          <w:noProof/>
          <w:sz w:val="24"/>
          <w:szCs w:val="24"/>
          <w:lang w:eastAsia="en-IE"/>
        </w:rPr>
      </w:pPr>
      <w:r>
        <w:rPr>
          <w:noProof/>
          <w:sz w:val="24"/>
          <w:szCs w:val="24"/>
          <w:lang w:eastAsia="en-IE"/>
        </w:rPr>
        <w:tab/>
      </w:r>
    </w:p>
    <w:p w14:paraId="4AA03D4B" w14:textId="77777777" w:rsidR="00F827AF" w:rsidRDefault="00F827AF" w:rsidP="00F827AF">
      <w:pPr>
        <w:jc w:val="center"/>
        <w:rPr>
          <w:noProof/>
          <w:sz w:val="32"/>
          <w:szCs w:val="32"/>
          <w:lang w:eastAsia="en-IE"/>
        </w:rPr>
      </w:pPr>
    </w:p>
    <w:p w14:paraId="005C4F86" w14:textId="77777777" w:rsidR="00781619" w:rsidRDefault="00781619" w:rsidP="00F827AF">
      <w:pPr>
        <w:jc w:val="center"/>
        <w:rPr>
          <w:noProof/>
          <w:sz w:val="32"/>
          <w:szCs w:val="32"/>
          <w:lang w:eastAsia="en-IE"/>
        </w:rPr>
      </w:pPr>
    </w:p>
    <w:p w14:paraId="70638305" w14:textId="6FF509F1" w:rsidR="00F827AF" w:rsidRDefault="00F827AF" w:rsidP="00F827AF">
      <w:pPr>
        <w:jc w:val="center"/>
        <w:rPr>
          <w:noProof/>
          <w:sz w:val="32"/>
          <w:szCs w:val="32"/>
          <w:lang w:eastAsia="en-IE"/>
        </w:rPr>
      </w:pPr>
    </w:p>
    <w:p w14:paraId="1DE293FC" w14:textId="77777777" w:rsidR="00C658EE" w:rsidRPr="00371C17" w:rsidRDefault="00C658EE" w:rsidP="00F827AF">
      <w:pPr>
        <w:jc w:val="center"/>
        <w:rPr>
          <w:noProof/>
          <w:sz w:val="32"/>
          <w:szCs w:val="32"/>
          <w:lang w:eastAsia="en-IE"/>
        </w:rPr>
      </w:pPr>
    </w:p>
    <w:p w14:paraId="34A651A0" w14:textId="77777777" w:rsidR="00F827AF" w:rsidRPr="00C658EE" w:rsidRDefault="00F827AF" w:rsidP="00F827AF">
      <w:pPr>
        <w:jc w:val="center"/>
        <w:rPr>
          <w:b/>
          <w:noProof/>
          <w:sz w:val="48"/>
          <w:szCs w:val="48"/>
          <w:lang w:eastAsia="en-IE"/>
        </w:rPr>
      </w:pPr>
      <w:r w:rsidRPr="00C658EE">
        <w:rPr>
          <w:b/>
          <w:noProof/>
          <w:sz w:val="48"/>
          <w:szCs w:val="48"/>
          <w:lang w:eastAsia="en-IE"/>
        </w:rPr>
        <w:t>FAQs ON APPLICATION OF PRESERVATION REGIME TO DEFINED BENEFIT RESTRUCTURINGS</w:t>
      </w:r>
    </w:p>
    <w:p w14:paraId="7C271D25" w14:textId="77777777" w:rsidR="00781619" w:rsidRDefault="00781619" w:rsidP="00F827AF">
      <w:pPr>
        <w:jc w:val="center"/>
        <w:rPr>
          <w:b/>
          <w:noProof/>
          <w:sz w:val="32"/>
          <w:szCs w:val="32"/>
          <w:lang w:eastAsia="en-IE"/>
        </w:rPr>
      </w:pPr>
    </w:p>
    <w:p w14:paraId="48954C8D" w14:textId="4A083280" w:rsidR="00C658EE" w:rsidRDefault="00C658EE" w:rsidP="00F827AF">
      <w:pPr>
        <w:jc w:val="center"/>
        <w:rPr>
          <w:b/>
          <w:noProof/>
          <w:sz w:val="32"/>
          <w:szCs w:val="32"/>
          <w:lang w:eastAsia="en-IE"/>
        </w:rPr>
      </w:pPr>
    </w:p>
    <w:p w14:paraId="37863DCE" w14:textId="77777777" w:rsidR="00C658EE" w:rsidRDefault="00C658EE" w:rsidP="00F827AF">
      <w:pPr>
        <w:jc w:val="center"/>
        <w:rPr>
          <w:b/>
          <w:noProof/>
          <w:sz w:val="32"/>
          <w:szCs w:val="32"/>
          <w:lang w:eastAsia="en-IE"/>
        </w:rPr>
      </w:pPr>
    </w:p>
    <w:p w14:paraId="69940E4A" w14:textId="77777777" w:rsidR="00C658EE" w:rsidRDefault="00C658EE" w:rsidP="00F827AF">
      <w:pPr>
        <w:jc w:val="center"/>
        <w:rPr>
          <w:b/>
          <w:noProof/>
          <w:sz w:val="32"/>
          <w:szCs w:val="32"/>
          <w:lang w:eastAsia="en-IE"/>
        </w:rPr>
      </w:pPr>
    </w:p>
    <w:p w14:paraId="1482E7BA" w14:textId="6913E8D3" w:rsidR="00F827AF" w:rsidRDefault="00F827AF" w:rsidP="00F827AF">
      <w:pPr>
        <w:jc w:val="center"/>
        <w:rPr>
          <w:b/>
          <w:noProof/>
          <w:sz w:val="32"/>
          <w:szCs w:val="32"/>
          <w:lang w:eastAsia="en-I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C658EE" w14:paraId="62D30356" w14:textId="77777777" w:rsidTr="00F96C93">
        <w:tc>
          <w:tcPr>
            <w:tcW w:w="9576" w:type="dxa"/>
            <w:tcBorders>
              <w:top w:val="single" w:sz="12" w:space="0" w:color="auto"/>
              <w:left w:val="single" w:sz="12" w:space="0" w:color="auto"/>
              <w:bottom w:val="single" w:sz="12" w:space="0" w:color="auto"/>
              <w:right w:val="single" w:sz="12" w:space="0" w:color="auto"/>
            </w:tcBorders>
            <w:shd w:val="clear" w:color="auto" w:fill="auto"/>
          </w:tcPr>
          <w:p w14:paraId="7973A2C7" w14:textId="77777777" w:rsidR="00C658EE" w:rsidRPr="00F96C93" w:rsidRDefault="00C658EE" w:rsidP="00F96C93">
            <w:pPr>
              <w:spacing w:after="0" w:line="240" w:lineRule="auto"/>
              <w:ind w:right="169"/>
              <w:jc w:val="both"/>
              <w:rPr>
                <w:rFonts w:cs="Arial"/>
                <w:b/>
                <w:iCs/>
                <w:sz w:val="24"/>
                <w:szCs w:val="24"/>
                <w:lang w:eastAsia="en-GB"/>
              </w:rPr>
            </w:pPr>
          </w:p>
          <w:p w14:paraId="664759AD" w14:textId="20DC0269" w:rsidR="00C658EE" w:rsidRPr="00F96C93" w:rsidRDefault="00C658EE" w:rsidP="00F96C93">
            <w:pPr>
              <w:spacing w:after="0"/>
              <w:ind w:right="147"/>
              <w:jc w:val="both"/>
              <w:rPr>
                <w:rFonts w:cs="Arial"/>
                <w:b/>
                <w:iCs/>
                <w:sz w:val="24"/>
                <w:szCs w:val="24"/>
                <w:lang w:eastAsia="en-GB"/>
              </w:rPr>
            </w:pPr>
            <w:r w:rsidRPr="00F96C93">
              <w:rPr>
                <w:rFonts w:cs="Arial"/>
                <w:b/>
                <w:iCs/>
                <w:sz w:val="24"/>
                <w:szCs w:val="24"/>
                <w:lang w:eastAsia="en-GB"/>
              </w:rPr>
              <w:t>Disclaimer</w:t>
            </w:r>
          </w:p>
          <w:p w14:paraId="33553A8E" w14:textId="77777777" w:rsidR="00C658EE" w:rsidRPr="00F96C93" w:rsidRDefault="00C658EE" w:rsidP="00F96C93">
            <w:pPr>
              <w:spacing w:after="0"/>
              <w:ind w:right="147"/>
              <w:jc w:val="both"/>
              <w:rPr>
                <w:rFonts w:cs="Arial"/>
                <w:b/>
                <w:iCs/>
                <w:sz w:val="24"/>
                <w:szCs w:val="24"/>
                <w:lang w:eastAsia="en-GB"/>
              </w:rPr>
            </w:pPr>
          </w:p>
          <w:p w14:paraId="5A481DEF" w14:textId="77777777" w:rsidR="00C658EE" w:rsidRPr="00F96C93" w:rsidRDefault="00C658EE" w:rsidP="00F96C93">
            <w:pPr>
              <w:spacing w:after="0"/>
              <w:ind w:right="147"/>
              <w:jc w:val="both"/>
              <w:rPr>
                <w:bCs/>
                <w:noProof/>
                <w:sz w:val="32"/>
                <w:szCs w:val="32"/>
                <w:lang w:eastAsia="en-IE"/>
              </w:rPr>
            </w:pPr>
            <w:r w:rsidRPr="00F96C93">
              <w:rPr>
                <w:rFonts w:cs="Arial"/>
                <w:iCs/>
                <w:sz w:val="24"/>
                <w:szCs w:val="24"/>
                <w:lang w:eastAsia="en-GB"/>
              </w:rPr>
              <w:t xml:space="preserve">The Pensions Authority have made every effort to ensure that this guidance note is correct. However, no liability whatsoever is accepted by the Pensions Authority, its servants or agents for any errors or omissions in the information contained in this guidance note or for any loss occasioned to any person acting or refraining from acting </w:t>
            </w:r>
            <w:proofErr w:type="gramStart"/>
            <w:r w:rsidRPr="00F96C93">
              <w:rPr>
                <w:rFonts w:cs="Arial"/>
                <w:iCs/>
                <w:sz w:val="24"/>
                <w:szCs w:val="24"/>
                <w:lang w:eastAsia="en-GB"/>
              </w:rPr>
              <w:t>as a result of</w:t>
            </w:r>
            <w:proofErr w:type="gramEnd"/>
            <w:r w:rsidRPr="00F96C93">
              <w:rPr>
                <w:rFonts w:cs="Arial"/>
                <w:iCs/>
                <w:sz w:val="24"/>
                <w:szCs w:val="24"/>
                <w:lang w:eastAsia="en-GB"/>
              </w:rPr>
              <w:t xml:space="preserve"> the information in this guidance note.</w:t>
            </w:r>
          </w:p>
          <w:p w14:paraId="178BA203" w14:textId="77777777" w:rsidR="00C658EE" w:rsidRPr="00F96C93" w:rsidRDefault="00C658EE" w:rsidP="00F96C93">
            <w:pPr>
              <w:spacing w:after="0" w:line="240" w:lineRule="auto"/>
              <w:jc w:val="center"/>
              <w:rPr>
                <w:b/>
                <w:noProof/>
                <w:sz w:val="24"/>
                <w:szCs w:val="24"/>
                <w:lang w:eastAsia="en-IE"/>
              </w:rPr>
            </w:pPr>
          </w:p>
        </w:tc>
      </w:tr>
    </w:tbl>
    <w:p w14:paraId="7447EA16" w14:textId="77777777" w:rsidR="00F827AF" w:rsidRDefault="00F827AF" w:rsidP="00F827AF">
      <w:pPr>
        <w:jc w:val="center"/>
        <w:rPr>
          <w:b/>
          <w:noProof/>
          <w:sz w:val="32"/>
          <w:szCs w:val="32"/>
          <w:lang w:eastAsia="en-IE"/>
        </w:rPr>
      </w:pPr>
    </w:p>
    <w:p w14:paraId="29AE69EA" w14:textId="77777777" w:rsidR="00F52958" w:rsidRDefault="00F52958">
      <w:pPr>
        <w:pStyle w:val="TOCHeading"/>
      </w:pPr>
      <w:r>
        <w:rPr>
          <w:lang w:val="en-GB"/>
        </w:rPr>
        <w:lastRenderedPageBreak/>
        <w:t>Contents</w:t>
      </w:r>
    </w:p>
    <w:p w14:paraId="20B37368" w14:textId="025F3E80" w:rsidR="00F52958" w:rsidRPr="00F52958" w:rsidRDefault="00F52958" w:rsidP="00F52958">
      <w:pPr>
        <w:pStyle w:val="TOC3"/>
        <w:rPr>
          <w:rFonts w:ascii="Calibri" w:hAnsi="Calibri"/>
          <w:noProof/>
          <w:kern w:val="2"/>
          <w:sz w:val="24"/>
          <w:szCs w:val="24"/>
          <w:lang w:eastAsia="en-IE"/>
        </w:rPr>
      </w:pPr>
      <w:r>
        <w:fldChar w:fldCharType="begin"/>
      </w:r>
      <w:r>
        <w:instrText xml:space="preserve"> TOC \o "1-3" \h \z \u </w:instrText>
      </w:r>
      <w:r>
        <w:fldChar w:fldCharType="separate"/>
      </w:r>
      <w:hyperlink w:anchor="_Toc226467253" w:history="1">
        <w:r w:rsidRPr="00417934">
          <w:rPr>
            <w:rStyle w:val="Hyperlink"/>
            <w:iCs/>
            <w:noProof/>
          </w:rPr>
          <w:t>1.</w:t>
        </w:r>
        <w:r w:rsidRPr="00F52958">
          <w:rPr>
            <w:rFonts w:ascii="Calibri" w:hAnsi="Calibri"/>
            <w:noProof/>
            <w:kern w:val="2"/>
            <w:sz w:val="24"/>
            <w:szCs w:val="24"/>
            <w:lang w:eastAsia="en-IE"/>
          </w:rPr>
          <w:tab/>
        </w:r>
        <w:r w:rsidRPr="00417934">
          <w:rPr>
            <w:rStyle w:val="Hyperlink"/>
            <w:noProof/>
          </w:rPr>
          <w:t>Overview</w:t>
        </w:r>
        <w:r>
          <w:rPr>
            <w:noProof/>
            <w:webHidden/>
          </w:rPr>
          <w:tab/>
        </w:r>
        <w:r>
          <w:rPr>
            <w:noProof/>
            <w:webHidden/>
          </w:rPr>
          <w:fldChar w:fldCharType="begin"/>
        </w:r>
        <w:r>
          <w:rPr>
            <w:noProof/>
            <w:webHidden/>
          </w:rPr>
          <w:instrText xml:space="preserve"> PAGEREF _Toc226467253 \h </w:instrText>
        </w:r>
        <w:r>
          <w:rPr>
            <w:noProof/>
            <w:webHidden/>
          </w:rPr>
        </w:r>
        <w:r>
          <w:rPr>
            <w:noProof/>
            <w:webHidden/>
          </w:rPr>
          <w:fldChar w:fldCharType="separate"/>
        </w:r>
        <w:r>
          <w:rPr>
            <w:noProof/>
            <w:webHidden/>
          </w:rPr>
          <w:t>1</w:t>
        </w:r>
        <w:r>
          <w:rPr>
            <w:noProof/>
            <w:webHidden/>
          </w:rPr>
          <w:fldChar w:fldCharType="end"/>
        </w:r>
      </w:hyperlink>
    </w:p>
    <w:p w14:paraId="1F5F0E16" w14:textId="22ABFD20" w:rsidR="00F52958" w:rsidRPr="00F52958" w:rsidRDefault="00F52958" w:rsidP="00F52958">
      <w:pPr>
        <w:pStyle w:val="TOC3"/>
        <w:rPr>
          <w:rFonts w:ascii="Calibri" w:hAnsi="Calibri"/>
          <w:noProof/>
          <w:kern w:val="2"/>
          <w:sz w:val="24"/>
          <w:szCs w:val="24"/>
          <w:lang w:eastAsia="en-IE"/>
        </w:rPr>
      </w:pPr>
      <w:hyperlink w:anchor="_Toc226467254" w:history="1">
        <w:r w:rsidRPr="00417934">
          <w:rPr>
            <w:rStyle w:val="Hyperlink"/>
            <w:noProof/>
          </w:rPr>
          <w:t>1.1</w:t>
        </w:r>
        <w:r w:rsidRPr="00F52958">
          <w:rPr>
            <w:rFonts w:ascii="Calibri" w:hAnsi="Calibri"/>
            <w:noProof/>
            <w:kern w:val="2"/>
            <w:sz w:val="24"/>
            <w:szCs w:val="24"/>
            <w:lang w:eastAsia="en-IE"/>
          </w:rPr>
          <w:tab/>
        </w:r>
        <w:r w:rsidRPr="00417934">
          <w:rPr>
            <w:rStyle w:val="Hyperlink"/>
            <w:noProof/>
          </w:rPr>
          <w:t>Statutory revaluation/enhancement</w:t>
        </w:r>
        <w:r>
          <w:rPr>
            <w:noProof/>
            <w:webHidden/>
          </w:rPr>
          <w:tab/>
        </w:r>
        <w:r>
          <w:rPr>
            <w:noProof/>
            <w:webHidden/>
          </w:rPr>
          <w:fldChar w:fldCharType="begin"/>
        </w:r>
        <w:r>
          <w:rPr>
            <w:noProof/>
            <w:webHidden/>
          </w:rPr>
          <w:instrText xml:space="preserve"> PAGEREF _Toc226467254 \h </w:instrText>
        </w:r>
        <w:r>
          <w:rPr>
            <w:noProof/>
            <w:webHidden/>
          </w:rPr>
        </w:r>
        <w:r>
          <w:rPr>
            <w:noProof/>
            <w:webHidden/>
          </w:rPr>
          <w:fldChar w:fldCharType="separate"/>
        </w:r>
        <w:r>
          <w:rPr>
            <w:noProof/>
            <w:webHidden/>
          </w:rPr>
          <w:t>1</w:t>
        </w:r>
        <w:r>
          <w:rPr>
            <w:noProof/>
            <w:webHidden/>
          </w:rPr>
          <w:fldChar w:fldCharType="end"/>
        </w:r>
      </w:hyperlink>
    </w:p>
    <w:p w14:paraId="1CAC2967" w14:textId="7F1E3EDB" w:rsidR="00F52958" w:rsidRPr="00F52958" w:rsidRDefault="00F52958">
      <w:pPr>
        <w:pStyle w:val="TOC2"/>
        <w:tabs>
          <w:tab w:val="left" w:pos="960"/>
          <w:tab w:val="right" w:leader="dot" w:pos="9350"/>
        </w:tabs>
        <w:rPr>
          <w:rFonts w:ascii="Calibri" w:hAnsi="Calibri"/>
          <w:noProof/>
          <w:kern w:val="2"/>
          <w:sz w:val="24"/>
          <w:szCs w:val="24"/>
          <w:lang w:eastAsia="en-IE"/>
        </w:rPr>
      </w:pPr>
      <w:hyperlink w:anchor="_Toc226467255" w:history="1">
        <w:r w:rsidRPr="00417934">
          <w:rPr>
            <w:rStyle w:val="Hyperlink"/>
            <w:noProof/>
          </w:rPr>
          <w:t>1.2</w:t>
        </w:r>
        <w:r w:rsidRPr="00F52958">
          <w:rPr>
            <w:rFonts w:ascii="Calibri" w:hAnsi="Calibri"/>
            <w:noProof/>
            <w:kern w:val="2"/>
            <w:sz w:val="24"/>
            <w:szCs w:val="24"/>
            <w:lang w:eastAsia="en-IE"/>
          </w:rPr>
          <w:tab/>
        </w:r>
        <w:r w:rsidRPr="00417934">
          <w:rPr>
            <w:rStyle w:val="Hyperlink"/>
            <w:noProof/>
          </w:rPr>
          <w:t>Phasing in</w:t>
        </w:r>
        <w:r>
          <w:rPr>
            <w:noProof/>
            <w:webHidden/>
          </w:rPr>
          <w:tab/>
        </w:r>
        <w:r>
          <w:rPr>
            <w:noProof/>
            <w:webHidden/>
          </w:rPr>
          <w:fldChar w:fldCharType="begin"/>
        </w:r>
        <w:r>
          <w:rPr>
            <w:noProof/>
            <w:webHidden/>
          </w:rPr>
          <w:instrText xml:space="preserve"> PAGEREF _Toc226467255 \h </w:instrText>
        </w:r>
        <w:r>
          <w:rPr>
            <w:noProof/>
            <w:webHidden/>
          </w:rPr>
        </w:r>
        <w:r>
          <w:rPr>
            <w:noProof/>
            <w:webHidden/>
          </w:rPr>
          <w:fldChar w:fldCharType="separate"/>
        </w:r>
        <w:r>
          <w:rPr>
            <w:noProof/>
            <w:webHidden/>
          </w:rPr>
          <w:t>1</w:t>
        </w:r>
        <w:r>
          <w:rPr>
            <w:noProof/>
            <w:webHidden/>
          </w:rPr>
          <w:fldChar w:fldCharType="end"/>
        </w:r>
      </w:hyperlink>
    </w:p>
    <w:p w14:paraId="13BD0BDE" w14:textId="2B0C3497" w:rsidR="00F52958" w:rsidRPr="00F52958" w:rsidRDefault="00F52958" w:rsidP="00F52958">
      <w:pPr>
        <w:pStyle w:val="TOC3"/>
        <w:rPr>
          <w:rFonts w:ascii="Calibri" w:hAnsi="Calibri"/>
          <w:noProof/>
          <w:kern w:val="2"/>
          <w:sz w:val="24"/>
          <w:szCs w:val="24"/>
          <w:lang w:eastAsia="en-IE"/>
        </w:rPr>
      </w:pPr>
      <w:hyperlink w:anchor="_Toc226467256" w:history="1">
        <w:r w:rsidRPr="00417934">
          <w:rPr>
            <w:rStyle w:val="Hyperlink"/>
            <w:iCs/>
            <w:noProof/>
          </w:rPr>
          <w:t>2.</w:t>
        </w:r>
        <w:r w:rsidRPr="00F52958">
          <w:rPr>
            <w:rFonts w:ascii="Calibri" w:hAnsi="Calibri"/>
            <w:noProof/>
            <w:kern w:val="2"/>
            <w:sz w:val="24"/>
            <w:szCs w:val="24"/>
            <w:lang w:eastAsia="en-IE"/>
          </w:rPr>
          <w:tab/>
        </w:r>
        <w:r w:rsidRPr="00417934">
          <w:rPr>
            <w:rStyle w:val="Hyperlink"/>
            <w:noProof/>
          </w:rPr>
          <w:t>Relevant definitions/terms</w:t>
        </w:r>
        <w:r>
          <w:rPr>
            <w:noProof/>
            <w:webHidden/>
          </w:rPr>
          <w:tab/>
        </w:r>
        <w:r>
          <w:rPr>
            <w:noProof/>
            <w:webHidden/>
          </w:rPr>
          <w:fldChar w:fldCharType="begin"/>
        </w:r>
        <w:r>
          <w:rPr>
            <w:noProof/>
            <w:webHidden/>
          </w:rPr>
          <w:instrText xml:space="preserve"> PAGEREF _Toc226467256 \h </w:instrText>
        </w:r>
        <w:r>
          <w:rPr>
            <w:noProof/>
            <w:webHidden/>
          </w:rPr>
        </w:r>
        <w:r>
          <w:rPr>
            <w:noProof/>
            <w:webHidden/>
          </w:rPr>
          <w:fldChar w:fldCharType="separate"/>
        </w:r>
        <w:r>
          <w:rPr>
            <w:noProof/>
            <w:webHidden/>
          </w:rPr>
          <w:t>3</w:t>
        </w:r>
        <w:r>
          <w:rPr>
            <w:noProof/>
            <w:webHidden/>
          </w:rPr>
          <w:fldChar w:fldCharType="end"/>
        </w:r>
      </w:hyperlink>
    </w:p>
    <w:p w14:paraId="567D0702" w14:textId="54005CC7" w:rsidR="00F52958" w:rsidRPr="00F52958" w:rsidRDefault="00F52958" w:rsidP="00F52958">
      <w:pPr>
        <w:pStyle w:val="TOC3"/>
        <w:rPr>
          <w:rFonts w:ascii="Calibri" w:hAnsi="Calibri"/>
          <w:noProof/>
          <w:kern w:val="2"/>
          <w:sz w:val="24"/>
          <w:szCs w:val="24"/>
          <w:lang w:eastAsia="en-IE"/>
        </w:rPr>
      </w:pPr>
      <w:hyperlink w:anchor="_Toc226467257" w:history="1">
        <w:r w:rsidRPr="00417934">
          <w:rPr>
            <w:rStyle w:val="Hyperlink"/>
            <w:iCs/>
            <w:noProof/>
          </w:rPr>
          <w:t>3.</w:t>
        </w:r>
        <w:r w:rsidRPr="00F52958">
          <w:rPr>
            <w:rFonts w:ascii="Calibri" w:hAnsi="Calibri"/>
            <w:noProof/>
            <w:kern w:val="2"/>
            <w:sz w:val="24"/>
            <w:szCs w:val="24"/>
            <w:lang w:eastAsia="en-IE"/>
          </w:rPr>
          <w:tab/>
        </w:r>
        <w:r w:rsidRPr="00417934">
          <w:rPr>
            <w:rStyle w:val="Hyperlink"/>
            <w:noProof/>
          </w:rPr>
          <w:t>Does statutory revaluation apply where a scheme freezes accrual of service and salary and does not provide for a replacement scheme in respect of future service?</w:t>
        </w:r>
        <w:r>
          <w:rPr>
            <w:noProof/>
            <w:webHidden/>
          </w:rPr>
          <w:tab/>
        </w:r>
        <w:r>
          <w:rPr>
            <w:noProof/>
            <w:webHidden/>
          </w:rPr>
          <w:fldChar w:fldCharType="begin"/>
        </w:r>
        <w:r>
          <w:rPr>
            <w:noProof/>
            <w:webHidden/>
          </w:rPr>
          <w:instrText xml:space="preserve"> PAGEREF _Toc226467257 \h </w:instrText>
        </w:r>
        <w:r>
          <w:rPr>
            <w:noProof/>
            <w:webHidden/>
          </w:rPr>
        </w:r>
        <w:r>
          <w:rPr>
            <w:noProof/>
            <w:webHidden/>
          </w:rPr>
          <w:fldChar w:fldCharType="separate"/>
        </w:r>
        <w:r>
          <w:rPr>
            <w:noProof/>
            <w:webHidden/>
          </w:rPr>
          <w:t>4</w:t>
        </w:r>
        <w:r>
          <w:rPr>
            <w:noProof/>
            <w:webHidden/>
          </w:rPr>
          <w:fldChar w:fldCharType="end"/>
        </w:r>
      </w:hyperlink>
    </w:p>
    <w:p w14:paraId="1582BCE2" w14:textId="2CFAEEC1" w:rsidR="00F52958" w:rsidRPr="00F52958" w:rsidRDefault="00F52958" w:rsidP="00F52958">
      <w:pPr>
        <w:pStyle w:val="TOC3"/>
        <w:rPr>
          <w:rFonts w:ascii="Calibri" w:hAnsi="Calibri"/>
          <w:noProof/>
          <w:kern w:val="2"/>
          <w:sz w:val="24"/>
          <w:szCs w:val="24"/>
          <w:lang w:eastAsia="en-IE"/>
        </w:rPr>
      </w:pPr>
      <w:hyperlink w:anchor="_Toc226467258" w:history="1">
        <w:r w:rsidRPr="00417934">
          <w:rPr>
            <w:rStyle w:val="Hyperlink"/>
            <w:iCs/>
            <w:noProof/>
          </w:rPr>
          <w:t>4.</w:t>
        </w:r>
        <w:r w:rsidRPr="00F52958">
          <w:rPr>
            <w:rFonts w:ascii="Calibri" w:hAnsi="Calibri"/>
            <w:noProof/>
            <w:kern w:val="2"/>
            <w:sz w:val="24"/>
            <w:szCs w:val="24"/>
            <w:lang w:eastAsia="en-IE"/>
          </w:rPr>
          <w:tab/>
        </w:r>
        <w:r w:rsidRPr="00417934">
          <w:rPr>
            <w:rStyle w:val="Hyperlink"/>
            <w:noProof/>
          </w:rPr>
          <w:t>What is the position concerning statutory revaluation where a scheme freezes accrual of service and salary but provides access to a replacement scheme in respect of future service?</w:t>
        </w:r>
        <w:r>
          <w:rPr>
            <w:noProof/>
            <w:webHidden/>
          </w:rPr>
          <w:tab/>
        </w:r>
        <w:r>
          <w:rPr>
            <w:noProof/>
            <w:webHidden/>
          </w:rPr>
          <w:fldChar w:fldCharType="begin"/>
        </w:r>
        <w:r>
          <w:rPr>
            <w:noProof/>
            <w:webHidden/>
          </w:rPr>
          <w:instrText xml:space="preserve"> PAGEREF _Toc226467258 \h </w:instrText>
        </w:r>
        <w:r>
          <w:rPr>
            <w:noProof/>
            <w:webHidden/>
          </w:rPr>
        </w:r>
        <w:r>
          <w:rPr>
            <w:noProof/>
            <w:webHidden/>
          </w:rPr>
          <w:fldChar w:fldCharType="separate"/>
        </w:r>
        <w:r>
          <w:rPr>
            <w:noProof/>
            <w:webHidden/>
          </w:rPr>
          <w:t>4</w:t>
        </w:r>
        <w:r>
          <w:rPr>
            <w:noProof/>
            <w:webHidden/>
          </w:rPr>
          <w:fldChar w:fldCharType="end"/>
        </w:r>
      </w:hyperlink>
    </w:p>
    <w:p w14:paraId="5394E5D2" w14:textId="513CF27A" w:rsidR="00F52958" w:rsidRPr="00F52958" w:rsidRDefault="00F52958" w:rsidP="00F52958">
      <w:pPr>
        <w:pStyle w:val="TOC3"/>
        <w:rPr>
          <w:rFonts w:ascii="Calibri" w:hAnsi="Calibri"/>
          <w:noProof/>
          <w:kern w:val="2"/>
          <w:sz w:val="24"/>
          <w:szCs w:val="24"/>
          <w:lang w:eastAsia="en-IE"/>
        </w:rPr>
      </w:pPr>
      <w:hyperlink w:anchor="_Toc226467259" w:history="1">
        <w:r w:rsidRPr="00417934">
          <w:rPr>
            <w:rStyle w:val="Hyperlink"/>
            <w:iCs/>
            <w:noProof/>
          </w:rPr>
          <w:t>5.</w:t>
        </w:r>
        <w:r w:rsidRPr="00F52958">
          <w:rPr>
            <w:rFonts w:ascii="Calibri" w:hAnsi="Calibri"/>
            <w:noProof/>
            <w:kern w:val="2"/>
            <w:sz w:val="24"/>
            <w:szCs w:val="24"/>
            <w:lang w:eastAsia="en-IE"/>
          </w:rPr>
          <w:tab/>
        </w:r>
        <w:r w:rsidRPr="00417934">
          <w:rPr>
            <w:rStyle w:val="Hyperlink"/>
            <w:noProof/>
          </w:rPr>
          <w:t>Does statutory revaluation apply where a scheme freezes accrual of service but maintains the final salary link or some growth in salary?</w:t>
        </w:r>
        <w:r>
          <w:rPr>
            <w:noProof/>
            <w:webHidden/>
          </w:rPr>
          <w:tab/>
        </w:r>
        <w:r>
          <w:rPr>
            <w:noProof/>
            <w:webHidden/>
          </w:rPr>
          <w:fldChar w:fldCharType="begin"/>
        </w:r>
        <w:r>
          <w:rPr>
            <w:noProof/>
            <w:webHidden/>
          </w:rPr>
          <w:instrText xml:space="preserve"> PAGEREF _Toc226467259 \h </w:instrText>
        </w:r>
        <w:r>
          <w:rPr>
            <w:noProof/>
            <w:webHidden/>
          </w:rPr>
        </w:r>
        <w:r>
          <w:rPr>
            <w:noProof/>
            <w:webHidden/>
          </w:rPr>
          <w:fldChar w:fldCharType="separate"/>
        </w:r>
        <w:r>
          <w:rPr>
            <w:noProof/>
            <w:webHidden/>
          </w:rPr>
          <w:t>5</w:t>
        </w:r>
        <w:r>
          <w:rPr>
            <w:noProof/>
            <w:webHidden/>
          </w:rPr>
          <w:fldChar w:fldCharType="end"/>
        </w:r>
      </w:hyperlink>
    </w:p>
    <w:p w14:paraId="12417A37" w14:textId="69B0358A" w:rsidR="00F52958" w:rsidRPr="00F52958" w:rsidRDefault="00F52958" w:rsidP="00F52958">
      <w:pPr>
        <w:pStyle w:val="TOC3"/>
        <w:rPr>
          <w:rFonts w:ascii="Calibri" w:hAnsi="Calibri"/>
          <w:noProof/>
          <w:kern w:val="2"/>
          <w:sz w:val="24"/>
          <w:szCs w:val="24"/>
          <w:lang w:eastAsia="en-IE"/>
        </w:rPr>
      </w:pPr>
      <w:hyperlink w:anchor="_Toc226467260" w:history="1">
        <w:r w:rsidRPr="00417934">
          <w:rPr>
            <w:rStyle w:val="Hyperlink"/>
            <w:iCs/>
            <w:noProof/>
          </w:rPr>
          <w:t>6.</w:t>
        </w:r>
        <w:r w:rsidRPr="00F52958">
          <w:rPr>
            <w:rFonts w:ascii="Calibri" w:hAnsi="Calibri"/>
            <w:noProof/>
            <w:kern w:val="2"/>
            <w:sz w:val="24"/>
            <w:szCs w:val="24"/>
            <w:lang w:eastAsia="en-IE"/>
          </w:rPr>
          <w:tab/>
        </w:r>
        <w:r w:rsidRPr="00417934">
          <w:rPr>
            <w:rStyle w:val="Hyperlink"/>
            <w:noProof/>
          </w:rPr>
          <w:t>What is the position where a scheme freezes accrual of service but maintains the final salary link or some growth in salary and also offers a replacement scheme in respect of future service?</w:t>
        </w:r>
        <w:r>
          <w:rPr>
            <w:noProof/>
            <w:webHidden/>
          </w:rPr>
          <w:tab/>
        </w:r>
        <w:r>
          <w:rPr>
            <w:noProof/>
            <w:webHidden/>
          </w:rPr>
          <w:fldChar w:fldCharType="begin"/>
        </w:r>
        <w:r>
          <w:rPr>
            <w:noProof/>
            <w:webHidden/>
          </w:rPr>
          <w:instrText xml:space="preserve"> PAGEREF _Toc226467260 \h </w:instrText>
        </w:r>
        <w:r>
          <w:rPr>
            <w:noProof/>
            <w:webHidden/>
          </w:rPr>
        </w:r>
        <w:r>
          <w:rPr>
            <w:noProof/>
            <w:webHidden/>
          </w:rPr>
          <w:fldChar w:fldCharType="separate"/>
        </w:r>
        <w:r>
          <w:rPr>
            <w:noProof/>
            <w:webHidden/>
          </w:rPr>
          <w:t>5</w:t>
        </w:r>
        <w:r>
          <w:rPr>
            <w:noProof/>
            <w:webHidden/>
          </w:rPr>
          <w:fldChar w:fldCharType="end"/>
        </w:r>
      </w:hyperlink>
    </w:p>
    <w:p w14:paraId="74FA4A0C" w14:textId="10884BBE" w:rsidR="00F52958" w:rsidRPr="00F52958" w:rsidRDefault="00F52958" w:rsidP="00F52958">
      <w:pPr>
        <w:pStyle w:val="TOC3"/>
        <w:rPr>
          <w:rFonts w:ascii="Calibri" w:hAnsi="Calibri"/>
          <w:noProof/>
          <w:kern w:val="2"/>
          <w:sz w:val="24"/>
          <w:szCs w:val="24"/>
          <w:lang w:eastAsia="en-IE"/>
        </w:rPr>
      </w:pPr>
      <w:hyperlink w:anchor="_Toc226467261" w:history="1">
        <w:r w:rsidRPr="00417934">
          <w:rPr>
            <w:rStyle w:val="Hyperlink"/>
            <w:iCs/>
            <w:noProof/>
          </w:rPr>
          <w:t>7.</w:t>
        </w:r>
        <w:r w:rsidRPr="00F52958">
          <w:rPr>
            <w:rFonts w:ascii="Calibri" w:hAnsi="Calibri"/>
            <w:noProof/>
            <w:kern w:val="2"/>
            <w:sz w:val="24"/>
            <w:szCs w:val="24"/>
            <w:lang w:eastAsia="en-IE"/>
          </w:rPr>
          <w:tab/>
        </w:r>
        <w:r w:rsidRPr="00417934">
          <w:rPr>
            <w:rStyle w:val="Hyperlink"/>
            <w:noProof/>
          </w:rPr>
          <w:t>When does an alteration in the basis of calculating long service benefit arise triggering the phasing in requirements?</w:t>
        </w:r>
        <w:r>
          <w:rPr>
            <w:noProof/>
            <w:webHidden/>
          </w:rPr>
          <w:tab/>
        </w:r>
        <w:r>
          <w:rPr>
            <w:noProof/>
            <w:webHidden/>
          </w:rPr>
          <w:fldChar w:fldCharType="begin"/>
        </w:r>
        <w:r>
          <w:rPr>
            <w:noProof/>
            <w:webHidden/>
          </w:rPr>
          <w:instrText xml:space="preserve"> PAGEREF _Toc226467261 \h </w:instrText>
        </w:r>
        <w:r>
          <w:rPr>
            <w:noProof/>
            <w:webHidden/>
          </w:rPr>
        </w:r>
        <w:r>
          <w:rPr>
            <w:noProof/>
            <w:webHidden/>
          </w:rPr>
          <w:fldChar w:fldCharType="separate"/>
        </w:r>
        <w:r>
          <w:rPr>
            <w:noProof/>
            <w:webHidden/>
          </w:rPr>
          <w:t>5</w:t>
        </w:r>
        <w:r>
          <w:rPr>
            <w:noProof/>
            <w:webHidden/>
          </w:rPr>
          <w:fldChar w:fldCharType="end"/>
        </w:r>
      </w:hyperlink>
    </w:p>
    <w:p w14:paraId="40F7A5CC" w14:textId="2386501E" w:rsidR="00F52958" w:rsidRPr="00F52958" w:rsidRDefault="00F52958" w:rsidP="00F52958">
      <w:pPr>
        <w:pStyle w:val="TOC3"/>
        <w:rPr>
          <w:rFonts w:ascii="Calibri" w:hAnsi="Calibri"/>
          <w:noProof/>
          <w:kern w:val="2"/>
          <w:sz w:val="24"/>
          <w:szCs w:val="24"/>
          <w:lang w:eastAsia="en-IE"/>
        </w:rPr>
      </w:pPr>
      <w:hyperlink w:anchor="_Toc226467262" w:history="1">
        <w:r w:rsidRPr="00417934">
          <w:rPr>
            <w:rStyle w:val="Hyperlink"/>
            <w:iCs/>
            <w:noProof/>
          </w:rPr>
          <w:t>8.</w:t>
        </w:r>
        <w:r w:rsidRPr="00F52958">
          <w:rPr>
            <w:rFonts w:ascii="Calibri" w:hAnsi="Calibri"/>
            <w:noProof/>
            <w:kern w:val="2"/>
            <w:sz w:val="24"/>
            <w:szCs w:val="24"/>
            <w:lang w:eastAsia="en-IE"/>
          </w:rPr>
          <w:tab/>
        </w:r>
        <w:r w:rsidRPr="00417934">
          <w:rPr>
            <w:rStyle w:val="Hyperlink"/>
            <w:noProof/>
          </w:rPr>
          <w:t>Do the provisions of paragraph 2(2) of Part A of the Second Schedule concerning phasing in apply where a scheme freezes accrual of service and salary?</w:t>
        </w:r>
        <w:r>
          <w:rPr>
            <w:noProof/>
            <w:webHidden/>
          </w:rPr>
          <w:tab/>
        </w:r>
        <w:r>
          <w:rPr>
            <w:noProof/>
            <w:webHidden/>
          </w:rPr>
          <w:fldChar w:fldCharType="begin"/>
        </w:r>
        <w:r>
          <w:rPr>
            <w:noProof/>
            <w:webHidden/>
          </w:rPr>
          <w:instrText xml:space="preserve"> PAGEREF _Toc226467262 \h </w:instrText>
        </w:r>
        <w:r>
          <w:rPr>
            <w:noProof/>
            <w:webHidden/>
          </w:rPr>
        </w:r>
        <w:r>
          <w:rPr>
            <w:noProof/>
            <w:webHidden/>
          </w:rPr>
          <w:fldChar w:fldCharType="separate"/>
        </w:r>
        <w:r>
          <w:rPr>
            <w:noProof/>
            <w:webHidden/>
          </w:rPr>
          <w:t>6</w:t>
        </w:r>
        <w:r>
          <w:rPr>
            <w:noProof/>
            <w:webHidden/>
          </w:rPr>
          <w:fldChar w:fldCharType="end"/>
        </w:r>
      </w:hyperlink>
    </w:p>
    <w:p w14:paraId="77A04B43" w14:textId="3BA44A8A" w:rsidR="00F52958" w:rsidRPr="00F52958" w:rsidRDefault="00F52958" w:rsidP="00F52958">
      <w:pPr>
        <w:pStyle w:val="TOC3"/>
        <w:rPr>
          <w:rFonts w:ascii="Calibri" w:hAnsi="Calibri"/>
          <w:noProof/>
          <w:kern w:val="2"/>
          <w:sz w:val="24"/>
          <w:szCs w:val="24"/>
          <w:lang w:eastAsia="en-IE"/>
        </w:rPr>
      </w:pPr>
      <w:hyperlink w:anchor="_Toc226467263" w:history="1">
        <w:r w:rsidRPr="00417934">
          <w:rPr>
            <w:rStyle w:val="Hyperlink"/>
            <w:iCs/>
            <w:noProof/>
          </w:rPr>
          <w:t>9.</w:t>
        </w:r>
        <w:r w:rsidRPr="00F52958">
          <w:rPr>
            <w:rFonts w:ascii="Calibri" w:hAnsi="Calibri"/>
            <w:noProof/>
            <w:kern w:val="2"/>
            <w:sz w:val="24"/>
            <w:szCs w:val="24"/>
            <w:lang w:eastAsia="en-IE"/>
          </w:rPr>
          <w:tab/>
        </w:r>
        <w:r w:rsidRPr="00417934">
          <w:rPr>
            <w:rStyle w:val="Hyperlink"/>
            <w:noProof/>
          </w:rPr>
          <w:t>Do the provisions of paragraph 2(2) of Part A of the Second Schedule concerning phasing in apply where a scheme maintains accrual of service but alters the link to final salary?</w:t>
        </w:r>
        <w:r>
          <w:rPr>
            <w:noProof/>
            <w:webHidden/>
          </w:rPr>
          <w:tab/>
        </w:r>
        <w:r>
          <w:rPr>
            <w:noProof/>
            <w:webHidden/>
          </w:rPr>
          <w:fldChar w:fldCharType="begin"/>
        </w:r>
        <w:r>
          <w:rPr>
            <w:noProof/>
            <w:webHidden/>
          </w:rPr>
          <w:instrText xml:space="preserve"> PAGEREF _Toc226467263 \h </w:instrText>
        </w:r>
        <w:r>
          <w:rPr>
            <w:noProof/>
            <w:webHidden/>
          </w:rPr>
        </w:r>
        <w:r>
          <w:rPr>
            <w:noProof/>
            <w:webHidden/>
          </w:rPr>
          <w:fldChar w:fldCharType="separate"/>
        </w:r>
        <w:r>
          <w:rPr>
            <w:noProof/>
            <w:webHidden/>
          </w:rPr>
          <w:t>6</w:t>
        </w:r>
        <w:r>
          <w:rPr>
            <w:noProof/>
            <w:webHidden/>
          </w:rPr>
          <w:fldChar w:fldCharType="end"/>
        </w:r>
      </w:hyperlink>
    </w:p>
    <w:p w14:paraId="2321F2DA" w14:textId="5B744678" w:rsidR="00F52958" w:rsidRDefault="00F52958">
      <w:r>
        <w:rPr>
          <w:b/>
          <w:bCs/>
          <w:lang w:val="en-GB"/>
        </w:rPr>
        <w:fldChar w:fldCharType="end"/>
      </w:r>
    </w:p>
    <w:p w14:paraId="272FD1C8" w14:textId="7195DF2F" w:rsidR="00F96C93" w:rsidRDefault="00F96C93"/>
    <w:p w14:paraId="323B34E6" w14:textId="77777777" w:rsidR="00F96C93" w:rsidRDefault="00F96C93" w:rsidP="007771AF">
      <w:pPr>
        <w:spacing w:after="0"/>
        <w:jc w:val="both"/>
        <w:rPr>
          <w:b/>
          <w:iCs/>
          <w:sz w:val="32"/>
          <w:szCs w:val="32"/>
        </w:rPr>
      </w:pPr>
    </w:p>
    <w:p w14:paraId="72EA5898" w14:textId="77777777" w:rsidR="00F96C93" w:rsidRDefault="00F96C93" w:rsidP="007771AF">
      <w:pPr>
        <w:spacing w:after="0"/>
        <w:jc w:val="both"/>
        <w:rPr>
          <w:b/>
          <w:iCs/>
          <w:sz w:val="32"/>
          <w:szCs w:val="32"/>
        </w:rPr>
      </w:pPr>
    </w:p>
    <w:p w14:paraId="41979DAC" w14:textId="1D9FF999" w:rsidR="007771AF" w:rsidRDefault="007771AF" w:rsidP="007771AF">
      <w:pPr>
        <w:spacing w:after="0"/>
        <w:jc w:val="both"/>
        <w:rPr>
          <w:b/>
          <w:iCs/>
        </w:rPr>
      </w:pPr>
    </w:p>
    <w:p w14:paraId="2B583ADE" w14:textId="77777777" w:rsidR="007771AF" w:rsidRDefault="007771AF" w:rsidP="007771AF">
      <w:pPr>
        <w:spacing w:after="0"/>
        <w:jc w:val="both"/>
        <w:rPr>
          <w:b/>
          <w:iCs/>
        </w:rPr>
      </w:pPr>
    </w:p>
    <w:p w14:paraId="60663AFF" w14:textId="77777777" w:rsidR="007771AF" w:rsidRDefault="007771AF" w:rsidP="005C7945">
      <w:pPr>
        <w:jc w:val="both"/>
        <w:rPr>
          <w:sz w:val="24"/>
          <w:szCs w:val="24"/>
        </w:rPr>
      </w:pPr>
    </w:p>
    <w:p w14:paraId="053D5927" w14:textId="77777777" w:rsidR="007771AF" w:rsidRDefault="007771AF" w:rsidP="005C7945">
      <w:pPr>
        <w:jc w:val="both"/>
        <w:rPr>
          <w:sz w:val="24"/>
          <w:szCs w:val="24"/>
        </w:rPr>
      </w:pPr>
    </w:p>
    <w:p w14:paraId="0107C43F" w14:textId="77777777" w:rsidR="007771AF" w:rsidRDefault="007771AF" w:rsidP="005C7945">
      <w:pPr>
        <w:jc w:val="both"/>
        <w:rPr>
          <w:sz w:val="24"/>
          <w:szCs w:val="24"/>
        </w:rPr>
      </w:pPr>
    </w:p>
    <w:p w14:paraId="26E23ACF" w14:textId="6F4B6484" w:rsidR="00691E7B" w:rsidRPr="00C658EE" w:rsidRDefault="00691E7B" w:rsidP="0054352A">
      <w:pPr>
        <w:rPr>
          <w:sz w:val="24"/>
          <w:szCs w:val="24"/>
        </w:rPr>
      </w:pPr>
      <w:r w:rsidRPr="00C658EE">
        <w:rPr>
          <w:sz w:val="24"/>
          <w:szCs w:val="24"/>
        </w:rPr>
        <w:t xml:space="preserve">The restructuring mechanisms of freezing accrual and/or adjusting the link to final salary are becoming more common for defined benefit </w:t>
      </w:r>
      <w:r w:rsidR="00196C8D">
        <w:rPr>
          <w:sz w:val="24"/>
          <w:szCs w:val="24"/>
        </w:rPr>
        <w:t xml:space="preserve">(DB) </w:t>
      </w:r>
      <w:r w:rsidRPr="00C658EE">
        <w:rPr>
          <w:sz w:val="24"/>
          <w:szCs w:val="24"/>
        </w:rPr>
        <w:t>final salary schemes. The provisions of Part III of the Pensions Act</w:t>
      </w:r>
      <w:r w:rsidR="007771AF">
        <w:rPr>
          <w:sz w:val="24"/>
          <w:szCs w:val="24"/>
        </w:rPr>
        <w:t>, 1990, as amended (the Act)</w:t>
      </w:r>
      <w:r w:rsidRPr="00C658EE">
        <w:rPr>
          <w:sz w:val="24"/>
          <w:szCs w:val="24"/>
        </w:rPr>
        <w:t xml:space="preserve"> and the </w:t>
      </w:r>
      <w:r w:rsidR="00781619">
        <w:rPr>
          <w:sz w:val="24"/>
          <w:szCs w:val="24"/>
        </w:rPr>
        <w:t>Pension</w:t>
      </w:r>
      <w:r w:rsidR="00501885">
        <w:rPr>
          <w:sz w:val="24"/>
          <w:szCs w:val="24"/>
        </w:rPr>
        <w:t>s</w:t>
      </w:r>
      <w:r w:rsidR="00781619">
        <w:rPr>
          <w:sz w:val="24"/>
          <w:szCs w:val="24"/>
        </w:rPr>
        <w:t xml:space="preserve"> </w:t>
      </w:r>
      <w:r w:rsidR="003D73B1" w:rsidRPr="00C658EE">
        <w:rPr>
          <w:sz w:val="24"/>
          <w:szCs w:val="24"/>
        </w:rPr>
        <w:t>Authority</w:t>
      </w:r>
      <w:r w:rsidRPr="00C658EE">
        <w:rPr>
          <w:sz w:val="24"/>
          <w:szCs w:val="24"/>
        </w:rPr>
        <w:t xml:space="preserve">’s existing guidance on Part III concerning the preservation of benefits for early leavers do not specifically deal with how certain aspects of the preservation regime, namely </w:t>
      </w:r>
      <w:r w:rsidRPr="00C658EE">
        <w:rPr>
          <w:b/>
          <w:sz w:val="24"/>
          <w:szCs w:val="24"/>
        </w:rPr>
        <w:t>statutory revaluation</w:t>
      </w:r>
      <w:r w:rsidRPr="00C658EE">
        <w:rPr>
          <w:sz w:val="24"/>
          <w:szCs w:val="24"/>
        </w:rPr>
        <w:t xml:space="preserve"> and the </w:t>
      </w:r>
      <w:r w:rsidR="00781619">
        <w:rPr>
          <w:b/>
          <w:sz w:val="24"/>
          <w:szCs w:val="24"/>
        </w:rPr>
        <w:t>‘</w:t>
      </w:r>
      <w:r w:rsidRPr="00C658EE">
        <w:rPr>
          <w:b/>
          <w:sz w:val="24"/>
          <w:szCs w:val="24"/>
        </w:rPr>
        <w:t>phasing in</w:t>
      </w:r>
      <w:r w:rsidR="00781619">
        <w:rPr>
          <w:b/>
          <w:sz w:val="24"/>
          <w:szCs w:val="24"/>
        </w:rPr>
        <w:t>’</w:t>
      </w:r>
      <w:r w:rsidRPr="00C658EE">
        <w:rPr>
          <w:b/>
          <w:sz w:val="24"/>
          <w:szCs w:val="24"/>
        </w:rPr>
        <w:t xml:space="preserve"> </w:t>
      </w:r>
      <w:r w:rsidRPr="00C658EE">
        <w:rPr>
          <w:sz w:val="24"/>
          <w:szCs w:val="24"/>
        </w:rPr>
        <w:t xml:space="preserve">of benefit reductions should apply in the </w:t>
      </w:r>
      <w:proofErr w:type="gramStart"/>
      <w:r w:rsidRPr="00C658EE">
        <w:rPr>
          <w:sz w:val="24"/>
          <w:szCs w:val="24"/>
        </w:rPr>
        <w:t>aforementioned restructuring</w:t>
      </w:r>
      <w:proofErr w:type="gramEnd"/>
      <w:r w:rsidRPr="00C658EE">
        <w:rPr>
          <w:sz w:val="24"/>
          <w:szCs w:val="24"/>
        </w:rPr>
        <w:t xml:space="preserve"> scenarios. </w:t>
      </w:r>
    </w:p>
    <w:p w14:paraId="4FF6EC78" w14:textId="2E26133B" w:rsidR="00691E7B" w:rsidRPr="00C658EE" w:rsidRDefault="00691E7B" w:rsidP="0054352A">
      <w:pPr>
        <w:rPr>
          <w:sz w:val="24"/>
          <w:szCs w:val="24"/>
        </w:rPr>
      </w:pPr>
      <w:r w:rsidRPr="00C658EE">
        <w:rPr>
          <w:sz w:val="24"/>
          <w:szCs w:val="24"/>
        </w:rPr>
        <w:t xml:space="preserve">These FAQs are intended to </w:t>
      </w:r>
      <w:proofErr w:type="gramStart"/>
      <w:r w:rsidRPr="00C658EE">
        <w:rPr>
          <w:sz w:val="24"/>
          <w:szCs w:val="24"/>
        </w:rPr>
        <w:t>provide assistance to</w:t>
      </w:r>
      <w:proofErr w:type="gramEnd"/>
      <w:r w:rsidRPr="00C658EE">
        <w:rPr>
          <w:sz w:val="24"/>
          <w:szCs w:val="24"/>
        </w:rPr>
        <w:t xml:space="preserve"> schemes on how the relevant provisions concerning statutory revaluation and </w:t>
      </w:r>
      <w:r w:rsidRPr="00C658EE">
        <w:rPr>
          <w:b/>
          <w:bCs/>
          <w:sz w:val="24"/>
          <w:szCs w:val="24"/>
        </w:rPr>
        <w:t>phasing in</w:t>
      </w:r>
      <w:r w:rsidRPr="00C658EE">
        <w:rPr>
          <w:sz w:val="24"/>
          <w:szCs w:val="24"/>
        </w:rPr>
        <w:t xml:space="preserve"> should be interpreted where </w:t>
      </w:r>
      <w:r w:rsidR="00196C8D">
        <w:rPr>
          <w:sz w:val="24"/>
          <w:szCs w:val="24"/>
        </w:rPr>
        <w:t>DB</w:t>
      </w:r>
      <w:r w:rsidRPr="00C658EE">
        <w:rPr>
          <w:sz w:val="24"/>
          <w:szCs w:val="24"/>
        </w:rPr>
        <w:t xml:space="preserve"> schemes seek to restructure by freezing accrual and/or altering the link to final salary.</w:t>
      </w:r>
    </w:p>
    <w:p w14:paraId="4EDA8631" w14:textId="77777777" w:rsidR="00691E7B" w:rsidRPr="00C658EE" w:rsidRDefault="00691E7B" w:rsidP="0054352A">
      <w:pPr>
        <w:rPr>
          <w:sz w:val="24"/>
          <w:szCs w:val="24"/>
        </w:rPr>
      </w:pPr>
      <w:r w:rsidRPr="00C658EE">
        <w:rPr>
          <w:sz w:val="24"/>
          <w:szCs w:val="24"/>
        </w:rPr>
        <w:t xml:space="preserve">These FAQs should be read in conjunction with the </w:t>
      </w:r>
      <w:r w:rsidR="003D73B1" w:rsidRPr="00C658EE">
        <w:rPr>
          <w:sz w:val="24"/>
          <w:szCs w:val="24"/>
        </w:rPr>
        <w:t>Authority</w:t>
      </w:r>
      <w:r w:rsidRPr="00C658EE">
        <w:rPr>
          <w:sz w:val="24"/>
          <w:szCs w:val="24"/>
        </w:rPr>
        <w:t xml:space="preserve">’s existing guidance on preservation which can be accessed </w:t>
      </w:r>
      <w:r w:rsidR="00F259BE" w:rsidRPr="00C658EE">
        <w:rPr>
          <w:sz w:val="24"/>
          <w:szCs w:val="24"/>
        </w:rPr>
        <w:t>on our website</w:t>
      </w:r>
      <w:r w:rsidRPr="00C658EE">
        <w:rPr>
          <w:sz w:val="24"/>
          <w:szCs w:val="24"/>
        </w:rPr>
        <w:t xml:space="preserve">. </w:t>
      </w:r>
    </w:p>
    <w:p w14:paraId="305AF465" w14:textId="77777777" w:rsidR="00600788" w:rsidRDefault="00600788" w:rsidP="0054352A">
      <w:pPr>
        <w:rPr>
          <w:i/>
        </w:rPr>
      </w:pPr>
    </w:p>
    <w:p w14:paraId="2C5EA46E" w14:textId="77777777" w:rsidR="00781619" w:rsidRPr="00981B28" w:rsidRDefault="00781619" w:rsidP="0054352A">
      <w:pPr>
        <w:ind w:left="360"/>
        <w:rPr>
          <w:rFonts w:ascii="Calibri" w:hAnsi="Calibri"/>
          <w:color w:val="1F497D"/>
          <w:lang w:eastAsia="en-GB"/>
        </w:rPr>
      </w:pPr>
    </w:p>
    <w:p w14:paraId="45D6CC5A" w14:textId="77777777" w:rsidR="00781619" w:rsidRPr="005C7945" w:rsidRDefault="00781619" w:rsidP="0054352A">
      <w:pPr>
        <w:ind w:left="164" w:right="169"/>
        <w:rPr>
          <w:rFonts w:cs="Arial"/>
          <w:sz w:val="24"/>
          <w:szCs w:val="24"/>
        </w:rPr>
      </w:pPr>
    </w:p>
    <w:p w14:paraId="6AB2DA74" w14:textId="77777777" w:rsidR="00600788" w:rsidRPr="00C658EE" w:rsidRDefault="00600788" w:rsidP="0054352A">
      <w:pPr>
        <w:rPr>
          <w:rFonts w:cs="Arial"/>
          <w:i/>
          <w:sz w:val="24"/>
          <w:szCs w:val="24"/>
        </w:rPr>
      </w:pPr>
    </w:p>
    <w:p w14:paraId="6A7377A5" w14:textId="77777777" w:rsidR="00691E7B" w:rsidRPr="00C658EE" w:rsidRDefault="00691E7B" w:rsidP="0054352A">
      <w:pPr>
        <w:rPr>
          <w:rFonts w:cs="Arial"/>
          <w:i/>
          <w:sz w:val="24"/>
          <w:szCs w:val="24"/>
        </w:rPr>
      </w:pPr>
    </w:p>
    <w:p w14:paraId="6AC1D72C" w14:textId="77777777" w:rsidR="00691E7B" w:rsidRPr="00C658EE" w:rsidRDefault="00691E7B" w:rsidP="0054352A">
      <w:pPr>
        <w:rPr>
          <w:rFonts w:cs="Arial"/>
          <w:i/>
          <w:sz w:val="24"/>
          <w:szCs w:val="24"/>
        </w:rPr>
      </w:pPr>
    </w:p>
    <w:p w14:paraId="296891D8" w14:textId="77777777" w:rsidR="00D35B77" w:rsidRPr="00C658EE" w:rsidRDefault="00D35B77" w:rsidP="0054352A">
      <w:pPr>
        <w:rPr>
          <w:rFonts w:cs="Arial"/>
          <w:i/>
          <w:sz w:val="24"/>
          <w:szCs w:val="24"/>
        </w:rPr>
      </w:pPr>
    </w:p>
    <w:p w14:paraId="2BAFE3A9" w14:textId="77777777" w:rsidR="00691E7B" w:rsidRPr="00C658EE" w:rsidRDefault="00691E7B" w:rsidP="0054352A">
      <w:pPr>
        <w:rPr>
          <w:rFonts w:cs="Arial"/>
          <w:i/>
          <w:sz w:val="24"/>
          <w:szCs w:val="24"/>
        </w:rPr>
      </w:pPr>
    </w:p>
    <w:p w14:paraId="15BD9C38" w14:textId="77777777" w:rsidR="00F827AF" w:rsidRPr="00C658EE" w:rsidRDefault="00F827AF" w:rsidP="0054352A">
      <w:pPr>
        <w:rPr>
          <w:rFonts w:cs="Arial"/>
          <w:b/>
          <w:i/>
          <w:sz w:val="24"/>
          <w:szCs w:val="24"/>
        </w:rPr>
      </w:pPr>
    </w:p>
    <w:p w14:paraId="075089B0" w14:textId="77777777" w:rsidR="005C7A9B" w:rsidRPr="00C658EE" w:rsidRDefault="005C7A9B" w:rsidP="0054352A">
      <w:pPr>
        <w:rPr>
          <w:rFonts w:cs="Arial"/>
          <w:b/>
          <w:i/>
          <w:sz w:val="24"/>
          <w:szCs w:val="24"/>
        </w:rPr>
      </w:pPr>
    </w:p>
    <w:p w14:paraId="2D818333" w14:textId="77777777" w:rsidR="00D35358" w:rsidRDefault="00D35358" w:rsidP="0054352A">
      <w:pPr>
        <w:rPr>
          <w:rFonts w:cs="Arial"/>
          <w:b/>
          <w:i/>
          <w:sz w:val="24"/>
          <w:szCs w:val="24"/>
        </w:rPr>
      </w:pPr>
    </w:p>
    <w:p w14:paraId="5C931990" w14:textId="77777777" w:rsidR="00D35358" w:rsidRDefault="00D35358" w:rsidP="0054352A">
      <w:pPr>
        <w:rPr>
          <w:rFonts w:cs="Arial"/>
          <w:b/>
          <w:i/>
          <w:sz w:val="24"/>
          <w:szCs w:val="24"/>
        </w:rPr>
      </w:pPr>
    </w:p>
    <w:p w14:paraId="12488195" w14:textId="77777777" w:rsidR="00D35358" w:rsidRDefault="00D35358" w:rsidP="0054352A">
      <w:pPr>
        <w:rPr>
          <w:rFonts w:cs="Arial"/>
          <w:b/>
          <w:i/>
          <w:sz w:val="24"/>
          <w:szCs w:val="24"/>
        </w:rPr>
      </w:pPr>
    </w:p>
    <w:p w14:paraId="029FE38F" w14:textId="77777777" w:rsidR="00D35358" w:rsidRDefault="00D35358" w:rsidP="0054352A">
      <w:pPr>
        <w:rPr>
          <w:rFonts w:cs="Arial"/>
          <w:b/>
          <w:i/>
          <w:sz w:val="24"/>
          <w:szCs w:val="24"/>
        </w:rPr>
      </w:pPr>
    </w:p>
    <w:p w14:paraId="4AE9A1CA" w14:textId="77777777" w:rsidR="00D35358" w:rsidRDefault="00D35358" w:rsidP="0054352A">
      <w:pPr>
        <w:rPr>
          <w:rFonts w:cs="Arial"/>
          <w:b/>
          <w:i/>
          <w:sz w:val="24"/>
          <w:szCs w:val="24"/>
        </w:rPr>
      </w:pPr>
    </w:p>
    <w:p w14:paraId="6D057A4F" w14:textId="77777777" w:rsidR="007771AF" w:rsidRDefault="007771AF" w:rsidP="0054352A">
      <w:pPr>
        <w:pStyle w:val="Heading1"/>
        <w:sectPr w:rsidR="007771AF" w:rsidSect="00CE0A31">
          <w:headerReference w:type="default" r:id="rId8"/>
          <w:footerReference w:type="even" r:id="rId9"/>
          <w:headerReference w:type="first" r:id="rId10"/>
          <w:footerReference w:type="first" r:id="rId11"/>
          <w:pgSz w:w="12240" w:h="15840"/>
          <w:pgMar w:top="1440" w:right="1440" w:bottom="1440" w:left="1440" w:header="708" w:footer="708" w:gutter="0"/>
          <w:pgNumType w:start="1"/>
          <w:cols w:space="708"/>
          <w:titlePg/>
          <w:docGrid w:linePitch="360"/>
        </w:sectPr>
      </w:pPr>
    </w:p>
    <w:p w14:paraId="295EFF73" w14:textId="0632143A" w:rsidR="00691E7B" w:rsidRPr="0054352A" w:rsidRDefault="00691E7B" w:rsidP="0054352A">
      <w:pPr>
        <w:pStyle w:val="Heading3"/>
        <w:numPr>
          <w:ilvl w:val="0"/>
          <w:numId w:val="27"/>
        </w:numPr>
        <w:ind w:left="567" w:hanging="567"/>
      </w:pPr>
      <w:bookmarkStart w:id="0" w:name="_Toc97113208"/>
      <w:bookmarkStart w:id="1" w:name="_Toc226467051"/>
      <w:bookmarkStart w:id="2" w:name="_Toc226467253"/>
      <w:r w:rsidRPr="0054352A">
        <w:lastRenderedPageBreak/>
        <w:t>Overview</w:t>
      </w:r>
      <w:bookmarkEnd w:id="0"/>
      <w:bookmarkEnd w:id="1"/>
      <w:bookmarkEnd w:id="2"/>
    </w:p>
    <w:p w14:paraId="475D615C" w14:textId="6B3F5E73" w:rsidR="00A451AD" w:rsidRDefault="00691E7B" w:rsidP="0054352A">
      <w:pPr>
        <w:spacing w:after="0"/>
        <w:rPr>
          <w:rFonts w:cs="Arial"/>
          <w:sz w:val="24"/>
          <w:szCs w:val="24"/>
        </w:rPr>
      </w:pPr>
      <w:r w:rsidRPr="00C658EE">
        <w:rPr>
          <w:rFonts w:cs="Arial"/>
          <w:sz w:val="24"/>
          <w:szCs w:val="24"/>
        </w:rPr>
        <w:t xml:space="preserve">There are two key aspects of the preservation regime under the </w:t>
      </w:r>
      <w:r w:rsidRPr="00C658EE">
        <w:rPr>
          <w:rFonts w:cs="Arial"/>
          <w:bCs/>
          <w:sz w:val="24"/>
          <w:szCs w:val="24"/>
        </w:rPr>
        <w:t>Act</w:t>
      </w:r>
      <w:r w:rsidRPr="00C658EE">
        <w:rPr>
          <w:rFonts w:cs="Arial"/>
          <w:sz w:val="24"/>
          <w:szCs w:val="24"/>
        </w:rPr>
        <w:t xml:space="preserve"> that are relevant to these FAQs. The first is statutory revaluation and the second concerns the concept of </w:t>
      </w:r>
      <w:r w:rsidR="00D35358">
        <w:rPr>
          <w:rFonts w:cs="Arial"/>
          <w:sz w:val="24"/>
          <w:szCs w:val="24"/>
        </w:rPr>
        <w:t>‘</w:t>
      </w:r>
      <w:r w:rsidRPr="00C658EE">
        <w:rPr>
          <w:rFonts w:cs="Arial"/>
          <w:b/>
          <w:bCs/>
          <w:sz w:val="24"/>
          <w:szCs w:val="24"/>
        </w:rPr>
        <w:t>phasing</w:t>
      </w:r>
      <w:r w:rsidRPr="00C658EE">
        <w:rPr>
          <w:rFonts w:cs="Arial"/>
          <w:sz w:val="24"/>
          <w:szCs w:val="24"/>
        </w:rPr>
        <w:t xml:space="preserve"> in</w:t>
      </w:r>
      <w:r w:rsidR="00D35358">
        <w:rPr>
          <w:rFonts w:cs="Arial"/>
          <w:sz w:val="24"/>
          <w:szCs w:val="24"/>
        </w:rPr>
        <w:t>’</w:t>
      </w:r>
      <w:r w:rsidRPr="00C658EE">
        <w:rPr>
          <w:rFonts w:cs="Arial"/>
          <w:sz w:val="24"/>
          <w:szCs w:val="24"/>
        </w:rPr>
        <w:t xml:space="preserve"> benefit reductions/improvements. At the outset, it is important to note that an entitlement to a preserved benefit only arises where certain qualifying conditions are met, including the condition that a termination of </w:t>
      </w:r>
      <w:r w:rsidRPr="00C658EE">
        <w:rPr>
          <w:rFonts w:cs="Arial"/>
          <w:b/>
          <w:bCs/>
          <w:iCs/>
          <w:sz w:val="24"/>
          <w:szCs w:val="24"/>
        </w:rPr>
        <w:t>relevant employment</w:t>
      </w:r>
      <w:r w:rsidRPr="00C658EE">
        <w:rPr>
          <w:rFonts w:cs="Arial"/>
          <w:sz w:val="24"/>
          <w:szCs w:val="24"/>
        </w:rPr>
        <w:t xml:space="preserve"> otherwise than on death prior to retirement/normal pensionable age has occurred. Therefore, statutory revaluation and </w:t>
      </w:r>
      <w:r w:rsidRPr="00C658EE">
        <w:rPr>
          <w:rFonts w:cs="Arial"/>
          <w:b/>
          <w:bCs/>
          <w:sz w:val="24"/>
          <w:szCs w:val="24"/>
        </w:rPr>
        <w:t>phasing in</w:t>
      </w:r>
      <w:r w:rsidRPr="00C658EE">
        <w:rPr>
          <w:rFonts w:cs="Arial"/>
          <w:sz w:val="24"/>
          <w:szCs w:val="24"/>
        </w:rPr>
        <w:t xml:space="preserve"> will only be relevant where an entitlement to a preserved benefit arises in the first place.</w:t>
      </w:r>
    </w:p>
    <w:p w14:paraId="7DAAF6A3" w14:textId="77777777" w:rsidR="00F52958" w:rsidRDefault="00F52958" w:rsidP="0054352A">
      <w:pPr>
        <w:spacing w:after="0"/>
        <w:rPr>
          <w:rFonts w:cs="Arial"/>
          <w:sz w:val="24"/>
          <w:szCs w:val="24"/>
        </w:rPr>
      </w:pPr>
    </w:p>
    <w:p w14:paraId="135D8978" w14:textId="1D402391" w:rsidR="00F52958" w:rsidRDefault="00F52958" w:rsidP="00F52958">
      <w:pPr>
        <w:pStyle w:val="Heading3"/>
        <w:numPr>
          <w:ilvl w:val="1"/>
          <w:numId w:val="27"/>
        </w:numPr>
        <w:ind w:left="567" w:hanging="567"/>
      </w:pPr>
      <w:r>
        <w:t xml:space="preserve"> </w:t>
      </w:r>
      <w:bookmarkStart w:id="3" w:name="_Toc226467254"/>
      <w:r>
        <w:t>Statutory revaluation/enhancement</w:t>
      </w:r>
      <w:bookmarkEnd w:id="3"/>
    </w:p>
    <w:p w14:paraId="195170E0" w14:textId="77777777" w:rsidR="00691E7B" w:rsidRDefault="00691E7B" w:rsidP="0054352A">
      <w:pPr>
        <w:spacing w:after="0"/>
        <w:rPr>
          <w:rFonts w:cs="Arial"/>
          <w:sz w:val="24"/>
          <w:szCs w:val="24"/>
        </w:rPr>
      </w:pPr>
      <w:r w:rsidRPr="00C658EE">
        <w:rPr>
          <w:rFonts w:cs="Arial"/>
          <w:sz w:val="24"/>
          <w:szCs w:val="24"/>
        </w:rPr>
        <w:t>Statutory revaluation</w:t>
      </w:r>
      <w:r w:rsidRPr="00C658EE">
        <w:rPr>
          <w:rStyle w:val="FootnoteReference"/>
          <w:rFonts w:cs="Arial"/>
          <w:sz w:val="24"/>
          <w:szCs w:val="24"/>
        </w:rPr>
        <w:footnoteReference w:id="1"/>
      </w:r>
      <w:r w:rsidRPr="00C658EE">
        <w:rPr>
          <w:rFonts w:cs="Arial"/>
          <w:sz w:val="24"/>
          <w:szCs w:val="24"/>
        </w:rPr>
        <w:t xml:space="preserve"> seeks to address the effects of price inflation on a preserved benefit whereby a member’s preserved benefit must be revalued annually by a defined percentage from the date the member leaves service until the date they retire.</w:t>
      </w:r>
    </w:p>
    <w:p w14:paraId="6463FD2A" w14:textId="77777777" w:rsidR="00EA2D0F" w:rsidRPr="00C658EE" w:rsidRDefault="00EA2D0F" w:rsidP="0054352A">
      <w:pPr>
        <w:spacing w:after="0"/>
        <w:rPr>
          <w:rFonts w:cs="Arial"/>
          <w:sz w:val="24"/>
          <w:szCs w:val="24"/>
        </w:rPr>
      </w:pPr>
    </w:p>
    <w:p w14:paraId="3542A7E7" w14:textId="70293D14" w:rsidR="00A451AD" w:rsidRPr="00C658EE" w:rsidRDefault="00691E7B" w:rsidP="0054352A">
      <w:pPr>
        <w:spacing w:after="0"/>
        <w:rPr>
          <w:rFonts w:cs="Arial"/>
          <w:sz w:val="24"/>
          <w:szCs w:val="24"/>
        </w:rPr>
      </w:pPr>
      <w:r w:rsidRPr="00C658EE">
        <w:rPr>
          <w:rFonts w:cs="Arial"/>
          <w:sz w:val="24"/>
          <w:szCs w:val="24"/>
        </w:rPr>
        <w:t xml:space="preserve">Where a member has periods of </w:t>
      </w:r>
      <w:r w:rsidRPr="00C658EE">
        <w:rPr>
          <w:rFonts w:cs="Arial"/>
          <w:b/>
          <w:bCs/>
          <w:iCs/>
          <w:sz w:val="24"/>
          <w:szCs w:val="24"/>
        </w:rPr>
        <w:t>reckonable service</w:t>
      </w:r>
      <w:r w:rsidRPr="00C658EE">
        <w:rPr>
          <w:rFonts w:cs="Arial"/>
          <w:sz w:val="24"/>
          <w:szCs w:val="24"/>
        </w:rPr>
        <w:t xml:space="preserve"> (i.e.</w:t>
      </w:r>
      <w:r w:rsidR="007A534E">
        <w:rPr>
          <w:rFonts w:cs="Arial"/>
          <w:sz w:val="24"/>
          <w:szCs w:val="24"/>
        </w:rPr>
        <w:t>,</w:t>
      </w:r>
      <w:r w:rsidRPr="00C658EE">
        <w:rPr>
          <w:rFonts w:cs="Arial"/>
          <w:sz w:val="24"/>
          <w:szCs w:val="24"/>
        </w:rPr>
        <w:t xml:space="preserve"> service as a scheme member) in more than one scheme of the same employer, the benefit in the first scheme may also be required to be revalued or </w:t>
      </w:r>
      <w:r w:rsidR="00D35358">
        <w:rPr>
          <w:rFonts w:cs="Arial"/>
          <w:sz w:val="24"/>
          <w:szCs w:val="24"/>
        </w:rPr>
        <w:t>‘</w:t>
      </w:r>
      <w:r w:rsidRPr="00C658EE">
        <w:rPr>
          <w:rFonts w:cs="Arial"/>
          <w:sz w:val="24"/>
          <w:szCs w:val="24"/>
        </w:rPr>
        <w:t>enhanced</w:t>
      </w:r>
      <w:r w:rsidR="00D35358">
        <w:rPr>
          <w:rFonts w:cs="Arial"/>
          <w:sz w:val="24"/>
          <w:szCs w:val="24"/>
        </w:rPr>
        <w:t>’</w:t>
      </w:r>
      <w:r w:rsidRPr="00C658EE">
        <w:rPr>
          <w:rStyle w:val="FootnoteReference"/>
          <w:rFonts w:cs="Arial"/>
          <w:sz w:val="24"/>
          <w:szCs w:val="24"/>
        </w:rPr>
        <w:footnoteReference w:id="2"/>
      </w:r>
      <w:r w:rsidRPr="00C658EE">
        <w:rPr>
          <w:rFonts w:cs="Arial"/>
          <w:sz w:val="24"/>
          <w:szCs w:val="24"/>
        </w:rPr>
        <w:t xml:space="preserve"> when the preserved benefit comes to be calculated on the termination of </w:t>
      </w:r>
      <w:r w:rsidRPr="00C658EE">
        <w:rPr>
          <w:rFonts w:cs="Arial"/>
          <w:b/>
          <w:bCs/>
          <w:iCs/>
          <w:sz w:val="24"/>
          <w:szCs w:val="24"/>
        </w:rPr>
        <w:t>relevant employment</w:t>
      </w:r>
      <w:r w:rsidRPr="00C658EE">
        <w:rPr>
          <w:rFonts w:cs="Arial"/>
          <w:sz w:val="24"/>
          <w:szCs w:val="24"/>
        </w:rPr>
        <w:t xml:space="preserve">. Essentially, enhancement operates in the same way as statutory revaluation. The purpose of enhancement is to ensure that an employee is entitled to an aggregate preserved benefit which is no less than the aggregate benefit to which </w:t>
      </w:r>
      <w:r w:rsidR="00600788" w:rsidRPr="00C658EE">
        <w:rPr>
          <w:rFonts w:cs="Arial"/>
          <w:sz w:val="24"/>
          <w:szCs w:val="24"/>
        </w:rPr>
        <w:t>they would have been entitled if their</w:t>
      </w:r>
      <w:r w:rsidRPr="00C658EE">
        <w:rPr>
          <w:rFonts w:cs="Arial"/>
          <w:sz w:val="24"/>
          <w:szCs w:val="24"/>
        </w:rPr>
        <w:t xml:space="preserve"> periods of </w:t>
      </w:r>
      <w:r w:rsidRPr="00C658EE">
        <w:rPr>
          <w:rFonts w:cs="Arial"/>
          <w:b/>
          <w:bCs/>
          <w:iCs/>
          <w:sz w:val="24"/>
          <w:szCs w:val="24"/>
        </w:rPr>
        <w:t>reckonable service</w:t>
      </w:r>
      <w:r w:rsidRPr="00C658EE">
        <w:rPr>
          <w:rFonts w:cs="Arial"/>
          <w:sz w:val="24"/>
          <w:szCs w:val="24"/>
        </w:rPr>
        <w:t xml:space="preserve"> in the various schemes had each related to different employments.</w:t>
      </w:r>
    </w:p>
    <w:p w14:paraId="59301A5D" w14:textId="7DB6AC98" w:rsidR="00691E7B" w:rsidRPr="0054352A" w:rsidRDefault="00691E7B" w:rsidP="0054352A">
      <w:pPr>
        <w:pStyle w:val="Heading4"/>
        <w:numPr>
          <w:ilvl w:val="1"/>
          <w:numId w:val="27"/>
        </w:numPr>
        <w:ind w:left="567" w:hanging="567"/>
      </w:pPr>
      <w:bookmarkStart w:id="4" w:name="_Toc97113210"/>
      <w:bookmarkStart w:id="5" w:name="_Toc226467052"/>
      <w:bookmarkStart w:id="6" w:name="_Toc226467255"/>
      <w:r w:rsidRPr="0054352A">
        <w:rPr>
          <w:rStyle w:val="Heading2Char"/>
          <w:b/>
          <w:bCs/>
          <w:iCs w:val="0"/>
          <w:sz w:val="24"/>
          <w:lang w:val="en-IE"/>
        </w:rPr>
        <w:t xml:space="preserve">Phasing </w:t>
      </w:r>
      <w:r w:rsidR="00D35358" w:rsidRPr="0054352A">
        <w:rPr>
          <w:rStyle w:val="Heading2Char"/>
          <w:b/>
          <w:bCs/>
          <w:iCs w:val="0"/>
          <w:sz w:val="24"/>
          <w:lang w:val="en-IE"/>
        </w:rPr>
        <w:t>i</w:t>
      </w:r>
      <w:r w:rsidRPr="0054352A">
        <w:rPr>
          <w:rStyle w:val="Heading2Char"/>
          <w:b/>
          <w:bCs/>
          <w:iCs w:val="0"/>
          <w:sz w:val="24"/>
          <w:lang w:val="en-IE"/>
        </w:rPr>
        <w:t>n</w:t>
      </w:r>
      <w:bookmarkEnd w:id="4"/>
      <w:bookmarkEnd w:id="5"/>
      <w:bookmarkEnd w:id="6"/>
      <w:r w:rsidRPr="0054352A">
        <w:rPr>
          <w:rStyle w:val="FootnoteReference"/>
        </w:rPr>
        <w:footnoteReference w:id="3"/>
      </w:r>
    </w:p>
    <w:p w14:paraId="6038BD70" w14:textId="0F0CA2A4" w:rsidR="00691E7B" w:rsidRPr="00C658EE" w:rsidRDefault="00691E7B" w:rsidP="0054352A">
      <w:pPr>
        <w:spacing w:after="0"/>
        <w:rPr>
          <w:rFonts w:cs="Arial"/>
          <w:sz w:val="24"/>
          <w:szCs w:val="24"/>
        </w:rPr>
      </w:pPr>
      <w:r w:rsidRPr="00C658EE">
        <w:rPr>
          <w:rFonts w:cs="Arial"/>
          <w:sz w:val="24"/>
          <w:szCs w:val="24"/>
        </w:rPr>
        <w:t xml:space="preserve">Broadly speaking, under the current preservation regime, a member’s preserved benefit must be calculated </w:t>
      </w:r>
      <w:proofErr w:type="gramStart"/>
      <w:r w:rsidRPr="00C658EE">
        <w:rPr>
          <w:rFonts w:cs="Arial"/>
          <w:sz w:val="24"/>
          <w:szCs w:val="24"/>
        </w:rPr>
        <w:t>taking into account</w:t>
      </w:r>
      <w:proofErr w:type="gramEnd"/>
      <w:r w:rsidRPr="00C658EE">
        <w:rPr>
          <w:rFonts w:cs="Arial"/>
          <w:sz w:val="24"/>
          <w:szCs w:val="24"/>
        </w:rPr>
        <w:t xml:space="preserve"> any benefit reduction (or improvement) that occurred while the member was in service. When calculating the preserved benefit, the reduction/improvement is accrued (phased in) over scheme service arising after the date of the change and only fully crystallises when a member comes to retire. In other </w:t>
      </w:r>
      <w:r w:rsidRPr="00C658EE">
        <w:rPr>
          <w:rFonts w:cs="Arial"/>
          <w:sz w:val="24"/>
          <w:szCs w:val="24"/>
        </w:rPr>
        <w:lastRenderedPageBreak/>
        <w:t>words, it is phased in over the future working life of a member</w:t>
      </w:r>
      <w:r w:rsidRPr="00C658EE">
        <w:rPr>
          <w:rStyle w:val="FootnoteReference"/>
          <w:rFonts w:cs="Arial"/>
          <w:sz w:val="24"/>
          <w:szCs w:val="24"/>
        </w:rPr>
        <w:footnoteReference w:id="4"/>
      </w:r>
      <w:r w:rsidRPr="00C658EE">
        <w:rPr>
          <w:rFonts w:cs="Arial"/>
          <w:sz w:val="24"/>
          <w:szCs w:val="24"/>
        </w:rPr>
        <w:t xml:space="preserve">. Therefore, unless a member remains in service until retirement, their preserved benefit will not reflect the full impact of the reduction/increase. </w:t>
      </w:r>
    </w:p>
    <w:p w14:paraId="7BC862AD" w14:textId="77777777" w:rsidR="00A451AD" w:rsidRDefault="00A451AD" w:rsidP="0054352A">
      <w:pPr>
        <w:spacing w:after="0"/>
        <w:rPr>
          <w:rFonts w:cs="Arial"/>
          <w:sz w:val="24"/>
          <w:szCs w:val="24"/>
        </w:rPr>
      </w:pPr>
    </w:p>
    <w:p w14:paraId="517E83C1" w14:textId="599C86D3" w:rsidR="00691E7B" w:rsidRDefault="00691E7B" w:rsidP="0054352A">
      <w:pPr>
        <w:spacing w:after="0"/>
        <w:rPr>
          <w:rFonts w:cs="Arial"/>
          <w:sz w:val="24"/>
          <w:szCs w:val="24"/>
        </w:rPr>
      </w:pPr>
      <w:r w:rsidRPr="00C658EE">
        <w:rPr>
          <w:rFonts w:cs="Arial"/>
          <w:sz w:val="24"/>
          <w:szCs w:val="24"/>
        </w:rPr>
        <w:t xml:space="preserve">The </w:t>
      </w:r>
      <w:r w:rsidRPr="00C658EE">
        <w:rPr>
          <w:rFonts w:cs="Arial"/>
          <w:b/>
          <w:bCs/>
          <w:sz w:val="24"/>
          <w:szCs w:val="24"/>
        </w:rPr>
        <w:t>phasing in</w:t>
      </w:r>
      <w:r w:rsidRPr="00C658EE">
        <w:rPr>
          <w:rFonts w:cs="Arial"/>
          <w:sz w:val="24"/>
          <w:szCs w:val="24"/>
        </w:rPr>
        <w:t xml:space="preserve"> effect will be applied not only when members leave service before retirement but also when determining a scheme’s funding position relative to the minimum funding standard under the Act at any point in time. In this respect, changes made </w:t>
      </w:r>
      <w:r w:rsidR="00196C8D">
        <w:rPr>
          <w:rFonts w:cs="Arial"/>
          <w:sz w:val="24"/>
          <w:szCs w:val="24"/>
        </w:rPr>
        <w:t xml:space="preserve">to DB </w:t>
      </w:r>
      <w:r w:rsidRPr="00C658EE">
        <w:rPr>
          <w:rFonts w:cs="Arial"/>
          <w:sz w:val="24"/>
          <w:szCs w:val="24"/>
        </w:rPr>
        <w:t xml:space="preserve">schemes with the intention of reducing the cost of benefits to tackle funding deficits (outside the confines of section 50) will not achieve an immediate cost saving benefit and the full impact of the saving will be achieved gradually over </w:t>
      </w:r>
      <w:proofErr w:type="gramStart"/>
      <w:r w:rsidRPr="00C658EE">
        <w:rPr>
          <w:rFonts w:cs="Arial"/>
          <w:sz w:val="24"/>
          <w:szCs w:val="24"/>
        </w:rPr>
        <w:t>a period of time</w:t>
      </w:r>
      <w:proofErr w:type="gramEnd"/>
      <w:r w:rsidRPr="00C658EE">
        <w:rPr>
          <w:rFonts w:cs="Arial"/>
          <w:sz w:val="24"/>
          <w:szCs w:val="24"/>
        </w:rPr>
        <w:t xml:space="preserve">. Where benefits are reduced pursuant to section 50, the </w:t>
      </w:r>
      <w:r w:rsidRPr="00C658EE">
        <w:rPr>
          <w:rFonts w:cs="Arial"/>
          <w:b/>
          <w:bCs/>
          <w:sz w:val="24"/>
          <w:szCs w:val="24"/>
        </w:rPr>
        <w:t>phasing in</w:t>
      </w:r>
      <w:r w:rsidRPr="00C658EE">
        <w:rPr>
          <w:rFonts w:cs="Arial"/>
          <w:sz w:val="24"/>
          <w:szCs w:val="24"/>
        </w:rPr>
        <w:t xml:space="preserve"> provisions of the Act do not apply</w:t>
      </w:r>
      <w:r w:rsidR="007E3B32" w:rsidRPr="00C658EE">
        <w:rPr>
          <w:rFonts w:cs="Arial"/>
          <w:sz w:val="24"/>
          <w:szCs w:val="24"/>
        </w:rPr>
        <w:t xml:space="preserve"> </w:t>
      </w:r>
      <w:r w:rsidR="004E06D8" w:rsidRPr="00C658EE">
        <w:rPr>
          <w:rFonts w:cs="Arial"/>
          <w:sz w:val="24"/>
          <w:szCs w:val="24"/>
        </w:rPr>
        <w:t>in so far as they would conflict with the reduction</w:t>
      </w:r>
      <w:r w:rsidRPr="00C658EE">
        <w:rPr>
          <w:rStyle w:val="FootnoteReference"/>
          <w:rFonts w:cs="Arial"/>
          <w:sz w:val="24"/>
          <w:szCs w:val="24"/>
        </w:rPr>
        <w:footnoteReference w:id="5"/>
      </w:r>
      <w:r w:rsidRPr="00C658EE">
        <w:rPr>
          <w:rFonts w:cs="Arial"/>
          <w:sz w:val="24"/>
          <w:szCs w:val="24"/>
        </w:rPr>
        <w:t xml:space="preserve">. </w:t>
      </w:r>
    </w:p>
    <w:p w14:paraId="4B7CDBC3" w14:textId="033E6109" w:rsidR="00691E7B" w:rsidRPr="00C658EE" w:rsidRDefault="00A451AD" w:rsidP="0054352A">
      <w:pPr>
        <w:pStyle w:val="Heading3"/>
        <w:numPr>
          <w:ilvl w:val="0"/>
          <w:numId w:val="27"/>
        </w:numPr>
        <w:ind w:left="567" w:hanging="567"/>
      </w:pPr>
      <w:r>
        <w:rPr>
          <w:szCs w:val="24"/>
        </w:rPr>
        <w:br w:type="page"/>
      </w:r>
      <w:bookmarkStart w:id="7" w:name="_Toc97113211"/>
      <w:bookmarkStart w:id="8" w:name="_Toc226467053"/>
      <w:bookmarkStart w:id="9" w:name="_Toc226467256"/>
      <w:r w:rsidR="00691E7B" w:rsidRPr="00C658EE">
        <w:lastRenderedPageBreak/>
        <w:t>Relevant definitions/terms</w:t>
      </w:r>
      <w:bookmarkEnd w:id="7"/>
      <w:bookmarkEnd w:id="8"/>
      <w:bookmarkEnd w:id="9"/>
    </w:p>
    <w:p w14:paraId="1007A7FA" w14:textId="091CE7DC" w:rsidR="00691E7B" w:rsidRDefault="00691E7B" w:rsidP="0054352A">
      <w:pPr>
        <w:spacing w:after="0"/>
        <w:rPr>
          <w:rFonts w:cs="Arial"/>
          <w:sz w:val="24"/>
          <w:szCs w:val="24"/>
        </w:rPr>
      </w:pPr>
      <w:r w:rsidRPr="00C658EE">
        <w:rPr>
          <w:rFonts w:cs="Arial"/>
          <w:sz w:val="24"/>
          <w:szCs w:val="24"/>
        </w:rPr>
        <w:t xml:space="preserve">While full details on the precise legislative provisions are contained in the existing guidance notes, it is useful for the purposes of these FAQs to repeat the following definitions: </w:t>
      </w:r>
    </w:p>
    <w:p w14:paraId="10C3D706" w14:textId="77777777" w:rsidR="00A451AD" w:rsidRPr="00C658EE" w:rsidRDefault="00A451AD" w:rsidP="0054352A">
      <w:pPr>
        <w:spacing w:after="0"/>
        <w:rPr>
          <w:rFonts w:cs="Arial"/>
          <w:sz w:val="24"/>
          <w:szCs w:val="24"/>
        </w:rPr>
      </w:pPr>
    </w:p>
    <w:p w14:paraId="441CB34F" w14:textId="0EA5345F" w:rsidR="00691E7B" w:rsidRPr="00C658EE" w:rsidRDefault="00691E7B" w:rsidP="0054352A">
      <w:pPr>
        <w:spacing w:after="0"/>
        <w:rPr>
          <w:rFonts w:cs="Arial"/>
          <w:sz w:val="24"/>
          <w:szCs w:val="24"/>
        </w:rPr>
      </w:pPr>
      <w:r w:rsidRPr="00C658EE">
        <w:rPr>
          <w:rFonts w:cs="Arial"/>
          <w:b/>
          <w:sz w:val="24"/>
          <w:szCs w:val="24"/>
        </w:rPr>
        <w:t>Long</w:t>
      </w:r>
      <w:r w:rsidRPr="00C658EE">
        <w:rPr>
          <w:rFonts w:cs="Arial"/>
          <w:b/>
          <w:i/>
          <w:sz w:val="24"/>
          <w:szCs w:val="24"/>
        </w:rPr>
        <w:t xml:space="preserve"> </w:t>
      </w:r>
      <w:r w:rsidR="00D35358" w:rsidRPr="00C658EE">
        <w:rPr>
          <w:rFonts w:cs="Arial"/>
          <w:b/>
          <w:iCs/>
          <w:sz w:val="24"/>
          <w:szCs w:val="24"/>
        </w:rPr>
        <w:t>s</w:t>
      </w:r>
      <w:r w:rsidRPr="00C658EE">
        <w:rPr>
          <w:rFonts w:cs="Arial"/>
          <w:b/>
          <w:iCs/>
          <w:sz w:val="24"/>
          <w:szCs w:val="24"/>
        </w:rPr>
        <w:t>ervice</w:t>
      </w:r>
      <w:r w:rsidRPr="00C658EE">
        <w:rPr>
          <w:rFonts w:cs="Arial"/>
          <w:b/>
          <w:i/>
          <w:sz w:val="24"/>
          <w:szCs w:val="24"/>
        </w:rPr>
        <w:t xml:space="preserve"> </w:t>
      </w:r>
      <w:r w:rsidR="00D35358" w:rsidRPr="00C658EE">
        <w:rPr>
          <w:rFonts w:cs="Arial"/>
          <w:b/>
          <w:iCs/>
          <w:sz w:val="24"/>
          <w:szCs w:val="24"/>
        </w:rPr>
        <w:t>b</w:t>
      </w:r>
      <w:r w:rsidRPr="00C658EE">
        <w:rPr>
          <w:rFonts w:cs="Arial"/>
          <w:b/>
          <w:iCs/>
          <w:sz w:val="24"/>
          <w:szCs w:val="24"/>
        </w:rPr>
        <w:t>enefit</w:t>
      </w:r>
      <w:r w:rsidRPr="00C658EE">
        <w:rPr>
          <w:rStyle w:val="FootnoteReference"/>
          <w:rFonts w:cs="Arial"/>
          <w:sz w:val="24"/>
          <w:szCs w:val="24"/>
        </w:rPr>
        <w:footnoteReference w:id="6"/>
      </w:r>
      <w:r w:rsidRPr="00C658EE">
        <w:rPr>
          <w:rFonts w:cs="Arial"/>
          <w:sz w:val="24"/>
          <w:szCs w:val="24"/>
        </w:rPr>
        <w:t xml:space="preserve"> means the benefits which will be payable under a scheme in accordance with an obligation to or in respect of a member of a scheme on the assumption that he remains in </w:t>
      </w:r>
      <w:r w:rsidRPr="00C658EE">
        <w:rPr>
          <w:rFonts w:cs="Arial"/>
          <w:b/>
          <w:bCs/>
          <w:iCs/>
          <w:sz w:val="24"/>
          <w:szCs w:val="24"/>
        </w:rPr>
        <w:t>relevant employment</w:t>
      </w:r>
      <w:r w:rsidRPr="00C658EE">
        <w:rPr>
          <w:rFonts w:cs="Arial"/>
          <w:sz w:val="24"/>
          <w:szCs w:val="24"/>
        </w:rPr>
        <w:t xml:space="preserve"> until such time as he attains normal pensionable age.</w:t>
      </w:r>
    </w:p>
    <w:p w14:paraId="1C17A509" w14:textId="77777777" w:rsidR="00A451AD" w:rsidRDefault="00A451AD" w:rsidP="0054352A">
      <w:pPr>
        <w:spacing w:after="0"/>
        <w:rPr>
          <w:rFonts w:cs="Arial"/>
          <w:sz w:val="24"/>
          <w:szCs w:val="24"/>
        </w:rPr>
      </w:pPr>
    </w:p>
    <w:p w14:paraId="5222FABF" w14:textId="54B07D1E" w:rsidR="00691E7B" w:rsidRDefault="00691E7B" w:rsidP="0054352A">
      <w:pPr>
        <w:spacing w:after="0"/>
        <w:rPr>
          <w:rFonts w:cs="Arial"/>
          <w:sz w:val="24"/>
          <w:szCs w:val="24"/>
        </w:rPr>
      </w:pPr>
      <w:r w:rsidRPr="00C658EE">
        <w:rPr>
          <w:rFonts w:cs="Arial"/>
          <w:b/>
          <w:sz w:val="24"/>
          <w:szCs w:val="24"/>
        </w:rPr>
        <w:t>Reckonable</w:t>
      </w:r>
      <w:r w:rsidRPr="00C658EE">
        <w:rPr>
          <w:rFonts w:cs="Arial"/>
          <w:b/>
          <w:i/>
          <w:sz w:val="24"/>
          <w:szCs w:val="24"/>
        </w:rPr>
        <w:t xml:space="preserve"> </w:t>
      </w:r>
      <w:r w:rsidR="00D35358">
        <w:rPr>
          <w:rFonts w:cs="Arial"/>
          <w:b/>
          <w:iCs/>
          <w:sz w:val="24"/>
          <w:szCs w:val="24"/>
        </w:rPr>
        <w:t>s</w:t>
      </w:r>
      <w:r w:rsidRPr="00C658EE">
        <w:rPr>
          <w:rFonts w:cs="Arial"/>
          <w:b/>
          <w:iCs/>
          <w:sz w:val="24"/>
          <w:szCs w:val="24"/>
        </w:rPr>
        <w:t>ervice</w:t>
      </w:r>
      <w:r w:rsidRPr="00C658EE">
        <w:rPr>
          <w:rStyle w:val="FootnoteReference"/>
          <w:rFonts w:cs="Arial"/>
          <w:sz w:val="24"/>
          <w:szCs w:val="24"/>
        </w:rPr>
        <w:footnoteReference w:id="7"/>
      </w:r>
      <w:r w:rsidRPr="00C658EE">
        <w:rPr>
          <w:rFonts w:cs="Arial"/>
          <w:sz w:val="24"/>
          <w:szCs w:val="24"/>
        </w:rPr>
        <w:t xml:space="preserve"> means service in the </w:t>
      </w:r>
      <w:r w:rsidRPr="00C658EE">
        <w:rPr>
          <w:rFonts w:cs="Arial"/>
          <w:b/>
          <w:bCs/>
          <w:iCs/>
          <w:sz w:val="24"/>
          <w:szCs w:val="24"/>
        </w:rPr>
        <w:t>relevant employment</w:t>
      </w:r>
      <w:r w:rsidRPr="00C658EE">
        <w:rPr>
          <w:rFonts w:cs="Arial"/>
          <w:sz w:val="24"/>
          <w:szCs w:val="24"/>
        </w:rPr>
        <w:t xml:space="preserve"> during membership of the scheme but does not include service as a member of the scheme where either:</w:t>
      </w:r>
    </w:p>
    <w:p w14:paraId="22FA5F3C" w14:textId="77777777" w:rsidR="00A451AD" w:rsidRDefault="00A451AD" w:rsidP="0054352A">
      <w:pPr>
        <w:spacing w:after="0"/>
        <w:rPr>
          <w:rFonts w:cs="Arial"/>
          <w:sz w:val="24"/>
          <w:szCs w:val="24"/>
        </w:rPr>
      </w:pPr>
    </w:p>
    <w:p w14:paraId="5B99E038" w14:textId="77777777" w:rsidR="00691E7B" w:rsidRPr="00C658EE" w:rsidRDefault="00691E7B" w:rsidP="0054352A">
      <w:pPr>
        <w:pStyle w:val="ListParagraph"/>
        <w:numPr>
          <w:ilvl w:val="0"/>
          <w:numId w:val="9"/>
        </w:numPr>
        <w:spacing w:after="0"/>
        <w:rPr>
          <w:rFonts w:cs="Arial"/>
          <w:sz w:val="24"/>
          <w:szCs w:val="24"/>
        </w:rPr>
      </w:pPr>
      <w:r w:rsidRPr="00C658EE">
        <w:rPr>
          <w:rFonts w:cs="Arial"/>
          <w:sz w:val="24"/>
          <w:szCs w:val="24"/>
        </w:rPr>
        <w:t>the only benefit under the scheme in respect of such service is in respect of death prior to normal pensionable age; or</w:t>
      </w:r>
    </w:p>
    <w:p w14:paraId="393BA9DF" w14:textId="77777777" w:rsidR="00691E7B" w:rsidRPr="00C658EE" w:rsidRDefault="00691E7B" w:rsidP="0054352A">
      <w:pPr>
        <w:pStyle w:val="ListParagraph"/>
        <w:numPr>
          <w:ilvl w:val="0"/>
          <w:numId w:val="9"/>
        </w:numPr>
        <w:spacing w:after="0"/>
        <w:rPr>
          <w:rFonts w:cs="Arial"/>
          <w:sz w:val="24"/>
          <w:szCs w:val="24"/>
        </w:rPr>
      </w:pPr>
      <w:r w:rsidRPr="00C658EE">
        <w:rPr>
          <w:rFonts w:cs="Arial"/>
          <w:sz w:val="24"/>
          <w:szCs w:val="24"/>
        </w:rPr>
        <w:t xml:space="preserve">the member has been notified in writing by the trustees that such service does not entitle </w:t>
      </w:r>
      <w:r w:rsidR="00600788" w:rsidRPr="00C658EE">
        <w:rPr>
          <w:rFonts w:cs="Arial"/>
          <w:sz w:val="24"/>
          <w:szCs w:val="24"/>
        </w:rPr>
        <w:t>them</w:t>
      </w:r>
      <w:r w:rsidRPr="00C658EE">
        <w:rPr>
          <w:rFonts w:cs="Arial"/>
          <w:sz w:val="24"/>
          <w:szCs w:val="24"/>
        </w:rPr>
        <w:t xml:space="preserve"> to long service benefit.</w:t>
      </w:r>
    </w:p>
    <w:p w14:paraId="40F0AE92" w14:textId="77777777" w:rsidR="00A451AD" w:rsidRDefault="00A451AD" w:rsidP="0054352A">
      <w:pPr>
        <w:spacing w:after="0"/>
        <w:rPr>
          <w:rFonts w:cs="Arial"/>
          <w:sz w:val="24"/>
          <w:szCs w:val="24"/>
        </w:rPr>
      </w:pPr>
    </w:p>
    <w:p w14:paraId="6C65F9B8" w14:textId="29B53912" w:rsidR="00691E7B" w:rsidRPr="00C658EE" w:rsidRDefault="00691E7B" w:rsidP="0054352A">
      <w:pPr>
        <w:spacing w:after="0"/>
        <w:rPr>
          <w:rFonts w:cs="Arial"/>
          <w:sz w:val="24"/>
          <w:szCs w:val="24"/>
        </w:rPr>
      </w:pPr>
      <w:r w:rsidRPr="00C658EE">
        <w:rPr>
          <w:rFonts w:cs="Arial"/>
          <w:b/>
          <w:sz w:val="24"/>
          <w:szCs w:val="24"/>
        </w:rPr>
        <w:t xml:space="preserve">Relevant </w:t>
      </w:r>
      <w:r w:rsidR="00D35358" w:rsidRPr="00C658EE">
        <w:rPr>
          <w:rFonts w:cs="Arial"/>
          <w:b/>
          <w:sz w:val="24"/>
          <w:szCs w:val="24"/>
        </w:rPr>
        <w:t>e</w:t>
      </w:r>
      <w:r w:rsidRPr="00C658EE">
        <w:rPr>
          <w:rFonts w:cs="Arial"/>
          <w:b/>
          <w:sz w:val="24"/>
          <w:szCs w:val="24"/>
        </w:rPr>
        <w:t>mployment</w:t>
      </w:r>
      <w:r w:rsidRPr="00C658EE">
        <w:rPr>
          <w:rStyle w:val="FootnoteReference"/>
          <w:rFonts w:cs="Arial"/>
          <w:sz w:val="24"/>
          <w:szCs w:val="24"/>
        </w:rPr>
        <w:footnoteReference w:id="8"/>
      </w:r>
      <w:r w:rsidRPr="00C658EE">
        <w:rPr>
          <w:rFonts w:cs="Arial"/>
          <w:sz w:val="24"/>
          <w:szCs w:val="24"/>
        </w:rPr>
        <w:t xml:space="preserve"> means any employment (or any period treated as employment) to which a scheme applies.</w:t>
      </w:r>
    </w:p>
    <w:p w14:paraId="1F29EA27" w14:textId="77777777" w:rsidR="00A451AD" w:rsidRDefault="00A451AD" w:rsidP="0054352A">
      <w:pPr>
        <w:spacing w:after="0"/>
        <w:rPr>
          <w:rFonts w:cs="Arial"/>
          <w:b/>
          <w:sz w:val="24"/>
          <w:szCs w:val="24"/>
        </w:rPr>
      </w:pPr>
    </w:p>
    <w:p w14:paraId="4DB20844" w14:textId="2F4D0E25" w:rsidR="00691E7B" w:rsidRPr="00C658EE" w:rsidRDefault="00691E7B" w:rsidP="0054352A">
      <w:pPr>
        <w:spacing w:after="0"/>
        <w:rPr>
          <w:rFonts w:cs="Arial"/>
          <w:sz w:val="24"/>
          <w:szCs w:val="24"/>
        </w:rPr>
      </w:pPr>
      <w:r w:rsidRPr="00C658EE">
        <w:rPr>
          <w:rFonts w:cs="Arial"/>
          <w:b/>
          <w:sz w:val="24"/>
          <w:szCs w:val="24"/>
        </w:rPr>
        <w:t>Phasing in</w:t>
      </w:r>
      <w:r w:rsidRPr="00C658EE">
        <w:rPr>
          <w:rStyle w:val="FootnoteReference"/>
          <w:rFonts w:cs="Arial"/>
          <w:b/>
          <w:sz w:val="24"/>
          <w:szCs w:val="24"/>
        </w:rPr>
        <w:footnoteReference w:id="9"/>
      </w:r>
      <w:r w:rsidRPr="00C658EE">
        <w:rPr>
          <w:rFonts w:cs="Arial"/>
          <w:sz w:val="24"/>
          <w:szCs w:val="24"/>
        </w:rPr>
        <w:t xml:space="preserve"> refers to the </w:t>
      </w:r>
      <w:proofErr w:type="gramStart"/>
      <w:r w:rsidRPr="00C658EE">
        <w:rPr>
          <w:rFonts w:cs="Arial"/>
          <w:sz w:val="24"/>
          <w:szCs w:val="24"/>
        </w:rPr>
        <w:t>manner in which</w:t>
      </w:r>
      <w:proofErr w:type="gramEnd"/>
      <w:r w:rsidRPr="00C658EE">
        <w:rPr>
          <w:rFonts w:cs="Arial"/>
          <w:sz w:val="24"/>
          <w:szCs w:val="24"/>
        </w:rPr>
        <w:t xml:space="preserve"> a preserved benefit is calculated where the basis of calculating long service benefit is altered between the date of commencement of the member’s </w:t>
      </w:r>
      <w:r w:rsidRPr="00C658EE">
        <w:rPr>
          <w:rFonts w:cs="Arial"/>
          <w:b/>
          <w:bCs/>
          <w:sz w:val="24"/>
          <w:szCs w:val="24"/>
        </w:rPr>
        <w:t>relevant</w:t>
      </w:r>
      <w:r w:rsidRPr="00C658EE">
        <w:rPr>
          <w:rFonts w:cs="Arial"/>
          <w:sz w:val="24"/>
          <w:szCs w:val="24"/>
        </w:rPr>
        <w:t xml:space="preserve"> </w:t>
      </w:r>
      <w:r w:rsidRPr="00C658EE">
        <w:rPr>
          <w:rFonts w:cs="Arial"/>
          <w:b/>
          <w:bCs/>
          <w:sz w:val="24"/>
          <w:szCs w:val="24"/>
        </w:rPr>
        <w:t>employment</w:t>
      </w:r>
      <w:r w:rsidRPr="00C658EE">
        <w:rPr>
          <w:rFonts w:cs="Arial"/>
          <w:sz w:val="24"/>
          <w:szCs w:val="24"/>
        </w:rPr>
        <w:t xml:space="preserve"> and the date of termination of the member’s </w:t>
      </w:r>
      <w:r w:rsidRPr="00C658EE">
        <w:rPr>
          <w:rFonts w:cs="Arial"/>
          <w:b/>
          <w:bCs/>
          <w:sz w:val="24"/>
          <w:szCs w:val="24"/>
        </w:rPr>
        <w:t>relevant</w:t>
      </w:r>
      <w:r w:rsidRPr="00C658EE">
        <w:rPr>
          <w:rFonts w:cs="Arial"/>
          <w:sz w:val="24"/>
          <w:szCs w:val="24"/>
        </w:rPr>
        <w:t xml:space="preserve"> </w:t>
      </w:r>
      <w:r w:rsidRPr="00C658EE">
        <w:rPr>
          <w:rFonts w:cs="Arial"/>
          <w:b/>
          <w:bCs/>
          <w:sz w:val="24"/>
          <w:szCs w:val="24"/>
        </w:rPr>
        <w:t>employment</w:t>
      </w:r>
      <w:r w:rsidRPr="00C658EE">
        <w:rPr>
          <w:rFonts w:cs="Arial"/>
          <w:sz w:val="24"/>
          <w:szCs w:val="24"/>
        </w:rPr>
        <w:t>.</w:t>
      </w:r>
    </w:p>
    <w:p w14:paraId="55700612" w14:textId="02D75902" w:rsidR="00691E7B" w:rsidRPr="00C658EE" w:rsidRDefault="00A451AD" w:rsidP="0054352A">
      <w:pPr>
        <w:pStyle w:val="Heading3"/>
        <w:numPr>
          <w:ilvl w:val="0"/>
          <w:numId w:val="27"/>
        </w:numPr>
        <w:ind w:left="567" w:hanging="567"/>
        <w:rPr>
          <w:sz w:val="28"/>
        </w:rPr>
      </w:pPr>
      <w:r>
        <w:br w:type="page"/>
      </w:r>
      <w:bookmarkStart w:id="10" w:name="_Toc97113212"/>
      <w:bookmarkStart w:id="11" w:name="_Toc226467054"/>
      <w:bookmarkStart w:id="12" w:name="_Toc226467257"/>
      <w:r w:rsidR="00691E7B" w:rsidRPr="00C658EE">
        <w:lastRenderedPageBreak/>
        <w:t>Does statutory revaluation apply where a scheme freezes</w:t>
      </w:r>
      <w:r w:rsidR="00691E7B" w:rsidRPr="00C658EE">
        <w:rPr>
          <w:rStyle w:val="FootnoteReference"/>
          <w:vertAlign w:val="baseline"/>
          <w:lang w:val="en-US"/>
        </w:rPr>
        <w:footnoteReference w:id="10"/>
      </w:r>
      <w:r w:rsidR="00691E7B" w:rsidRPr="00C658EE">
        <w:t xml:space="preserve"> accrual </w:t>
      </w:r>
      <w:r w:rsidR="00BD7196" w:rsidRPr="00C658EE">
        <w:t xml:space="preserve">of service </w:t>
      </w:r>
      <w:r w:rsidR="00691E7B" w:rsidRPr="00C658EE">
        <w:t>and salary and does not provide for a replacement scheme in respect of future service?</w:t>
      </w:r>
      <w:bookmarkEnd w:id="10"/>
      <w:bookmarkEnd w:id="11"/>
      <w:bookmarkEnd w:id="12"/>
    </w:p>
    <w:p w14:paraId="045BB0DA" w14:textId="7AD6E63A" w:rsidR="00691E7B" w:rsidRDefault="00691E7B" w:rsidP="0054352A">
      <w:pPr>
        <w:spacing w:after="0"/>
        <w:rPr>
          <w:rFonts w:cs="Arial"/>
          <w:sz w:val="24"/>
          <w:szCs w:val="24"/>
        </w:rPr>
      </w:pPr>
      <w:r w:rsidRPr="00C658EE">
        <w:rPr>
          <w:rFonts w:cs="Arial"/>
          <w:sz w:val="24"/>
          <w:szCs w:val="24"/>
        </w:rPr>
        <w:t xml:space="preserve">Statutory revaluation will only be relevant where a preserved benefit arises in the first place. As a preserved benefit will only arise on foot of a termination of </w:t>
      </w:r>
      <w:r w:rsidRPr="00C658EE">
        <w:rPr>
          <w:rFonts w:cs="Arial"/>
          <w:b/>
          <w:bCs/>
          <w:iCs/>
          <w:sz w:val="24"/>
          <w:szCs w:val="24"/>
        </w:rPr>
        <w:t>relevant employment</w:t>
      </w:r>
      <w:r w:rsidRPr="00C658EE">
        <w:rPr>
          <w:rFonts w:cs="Arial"/>
          <w:iCs/>
          <w:sz w:val="24"/>
          <w:szCs w:val="24"/>
        </w:rPr>
        <w:t>,</w:t>
      </w:r>
      <w:r w:rsidRPr="00C658EE">
        <w:rPr>
          <w:rFonts w:cs="Arial"/>
          <w:sz w:val="24"/>
          <w:szCs w:val="24"/>
        </w:rPr>
        <w:t xml:space="preserve"> an assessment of </w:t>
      </w:r>
      <w:proofErr w:type="gramStart"/>
      <w:r w:rsidRPr="00C658EE">
        <w:rPr>
          <w:rFonts w:cs="Arial"/>
          <w:sz w:val="24"/>
          <w:szCs w:val="24"/>
        </w:rPr>
        <w:t>whether or not</w:t>
      </w:r>
      <w:proofErr w:type="gramEnd"/>
      <w:r w:rsidRPr="00C658EE">
        <w:rPr>
          <w:rFonts w:cs="Arial"/>
          <w:sz w:val="24"/>
          <w:szCs w:val="24"/>
        </w:rPr>
        <w:t xml:space="preserve"> the scheme still </w:t>
      </w:r>
      <w:r w:rsidR="00D35358">
        <w:rPr>
          <w:rFonts w:cs="Arial"/>
          <w:sz w:val="24"/>
          <w:szCs w:val="24"/>
        </w:rPr>
        <w:t>‘</w:t>
      </w:r>
      <w:r w:rsidRPr="00C658EE">
        <w:rPr>
          <w:rFonts w:cs="Arial"/>
          <w:sz w:val="24"/>
          <w:szCs w:val="24"/>
        </w:rPr>
        <w:t>applies</w:t>
      </w:r>
      <w:r w:rsidR="00D35358">
        <w:rPr>
          <w:rFonts w:cs="Arial"/>
          <w:sz w:val="24"/>
          <w:szCs w:val="24"/>
        </w:rPr>
        <w:t>’</w:t>
      </w:r>
      <w:r w:rsidRPr="00C658EE">
        <w:rPr>
          <w:rFonts w:cs="Arial"/>
          <w:sz w:val="24"/>
          <w:szCs w:val="24"/>
        </w:rPr>
        <w:t xml:space="preserve"> to a member’s employment must be undertaken. As no further benefits will accrue from the date of freezing and there is no replacement scheme, </w:t>
      </w:r>
      <w:proofErr w:type="gramStart"/>
      <w:r w:rsidRPr="00C658EE">
        <w:rPr>
          <w:rFonts w:cs="Arial"/>
          <w:sz w:val="24"/>
          <w:szCs w:val="24"/>
        </w:rPr>
        <w:t>it would appear that the</w:t>
      </w:r>
      <w:proofErr w:type="gramEnd"/>
      <w:r w:rsidRPr="00C658EE">
        <w:rPr>
          <w:rFonts w:cs="Arial"/>
          <w:sz w:val="24"/>
          <w:szCs w:val="24"/>
        </w:rPr>
        <w:t xml:space="preserve"> scheme ceases to apply to a member’s employment, amounting to a termination of </w:t>
      </w:r>
      <w:r w:rsidRPr="00C658EE">
        <w:rPr>
          <w:rFonts w:cs="Arial"/>
          <w:b/>
          <w:bCs/>
          <w:iCs/>
          <w:sz w:val="24"/>
          <w:szCs w:val="24"/>
        </w:rPr>
        <w:t>relevant employment</w:t>
      </w:r>
      <w:r w:rsidRPr="00C658EE">
        <w:rPr>
          <w:rFonts w:cs="Arial"/>
          <w:sz w:val="24"/>
          <w:szCs w:val="24"/>
        </w:rPr>
        <w:t xml:space="preserve">. </w:t>
      </w:r>
      <w:proofErr w:type="gramStart"/>
      <w:r w:rsidRPr="00C658EE">
        <w:rPr>
          <w:rFonts w:cs="Arial"/>
          <w:sz w:val="24"/>
          <w:szCs w:val="24"/>
        </w:rPr>
        <w:t>Assuming that</w:t>
      </w:r>
      <w:proofErr w:type="gramEnd"/>
      <w:r w:rsidRPr="00C658EE">
        <w:rPr>
          <w:rFonts w:cs="Arial"/>
          <w:sz w:val="24"/>
          <w:szCs w:val="24"/>
        </w:rPr>
        <w:t xml:space="preserve"> a termination of </w:t>
      </w:r>
      <w:r w:rsidRPr="00C658EE">
        <w:rPr>
          <w:rFonts w:cs="Arial"/>
          <w:b/>
          <w:bCs/>
          <w:iCs/>
          <w:sz w:val="24"/>
          <w:szCs w:val="24"/>
        </w:rPr>
        <w:t>relevant employment</w:t>
      </w:r>
      <w:r w:rsidRPr="00C658EE">
        <w:rPr>
          <w:rFonts w:cs="Arial"/>
          <w:sz w:val="24"/>
          <w:szCs w:val="24"/>
        </w:rPr>
        <w:t xml:space="preserve"> occurs and provided that the other relevant qualifying conditions are met, a preserved benefit may be triggered, which may in turn attract statutory revaluation.</w:t>
      </w:r>
    </w:p>
    <w:p w14:paraId="4C9C424F" w14:textId="77777777" w:rsidR="00A451AD" w:rsidRPr="00C658EE" w:rsidRDefault="00A451AD" w:rsidP="0054352A">
      <w:pPr>
        <w:spacing w:after="0"/>
        <w:rPr>
          <w:rFonts w:cs="Arial"/>
          <w:sz w:val="24"/>
          <w:szCs w:val="24"/>
        </w:rPr>
      </w:pPr>
    </w:p>
    <w:p w14:paraId="21A8A37F" w14:textId="77777777" w:rsidR="00691E7B" w:rsidRPr="00C658EE" w:rsidRDefault="00691E7B" w:rsidP="0054352A">
      <w:pPr>
        <w:pStyle w:val="Heading3"/>
        <w:numPr>
          <w:ilvl w:val="0"/>
          <w:numId w:val="27"/>
        </w:numPr>
        <w:ind w:left="567" w:hanging="567"/>
        <w:rPr>
          <w:sz w:val="28"/>
        </w:rPr>
      </w:pPr>
      <w:bookmarkStart w:id="13" w:name="_Toc97113213"/>
      <w:bookmarkStart w:id="14" w:name="_Toc226467055"/>
      <w:bookmarkStart w:id="15" w:name="_Toc226467258"/>
      <w:r w:rsidRPr="00C658EE">
        <w:t>What is the position concerning statutory revaluation where a scheme freezes accrual</w:t>
      </w:r>
      <w:r w:rsidR="00BD7196" w:rsidRPr="00C658EE">
        <w:t xml:space="preserve"> of service</w:t>
      </w:r>
      <w:r w:rsidRPr="00C658EE">
        <w:t xml:space="preserve"> and salary but provides access to a replacement scheme in respect of future service?</w:t>
      </w:r>
      <w:bookmarkEnd w:id="13"/>
      <w:bookmarkEnd w:id="14"/>
      <w:bookmarkEnd w:id="15"/>
    </w:p>
    <w:p w14:paraId="3A457381" w14:textId="039F6A25" w:rsidR="00691E7B" w:rsidRDefault="00691E7B" w:rsidP="0054352A">
      <w:pPr>
        <w:spacing w:after="0"/>
        <w:rPr>
          <w:rFonts w:cs="Arial"/>
          <w:sz w:val="24"/>
          <w:szCs w:val="24"/>
        </w:rPr>
      </w:pPr>
      <w:r w:rsidRPr="00C658EE">
        <w:rPr>
          <w:rFonts w:cs="Arial"/>
          <w:sz w:val="24"/>
          <w:szCs w:val="24"/>
        </w:rPr>
        <w:t>Where the accrual of benefits is halted in the manner indicated above but members are given</w:t>
      </w:r>
      <w:r w:rsidR="007E3B32" w:rsidRPr="00C658EE">
        <w:rPr>
          <w:rFonts w:cs="Arial"/>
          <w:sz w:val="24"/>
          <w:szCs w:val="24"/>
        </w:rPr>
        <w:t xml:space="preserve"> immediate </w:t>
      </w:r>
      <w:r w:rsidRPr="00C658EE">
        <w:rPr>
          <w:rFonts w:cs="Arial"/>
          <w:sz w:val="24"/>
          <w:szCs w:val="24"/>
        </w:rPr>
        <w:t xml:space="preserve">access to a replacement scheme of the same employer in respect of future service (which may be either </w:t>
      </w:r>
      <w:r w:rsidR="00196C8D">
        <w:rPr>
          <w:rFonts w:cs="Arial"/>
          <w:sz w:val="24"/>
          <w:szCs w:val="24"/>
        </w:rPr>
        <w:t>DB</w:t>
      </w:r>
      <w:r w:rsidRPr="00C658EE">
        <w:rPr>
          <w:rFonts w:cs="Arial"/>
          <w:sz w:val="24"/>
          <w:szCs w:val="24"/>
        </w:rPr>
        <w:t xml:space="preserve"> or defined contribution in nature), a termination of </w:t>
      </w:r>
      <w:r w:rsidRPr="00C658EE">
        <w:rPr>
          <w:rFonts w:cs="Arial"/>
          <w:b/>
          <w:bCs/>
          <w:iCs/>
          <w:sz w:val="24"/>
          <w:szCs w:val="24"/>
        </w:rPr>
        <w:t>relevant employment</w:t>
      </w:r>
      <w:r w:rsidRPr="00C658EE">
        <w:rPr>
          <w:rFonts w:cs="Arial"/>
          <w:sz w:val="24"/>
          <w:szCs w:val="24"/>
        </w:rPr>
        <w:t xml:space="preserve"> will not occur as there is </w:t>
      </w:r>
      <w:r w:rsidR="007E3B32" w:rsidRPr="00C658EE">
        <w:rPr>
          <w:rFonts w:cs="Arial"/>
          <w:sz w:val="24"/>
          <w:szCs w:val="24"/>
        </w:rPr>
        <w:t xml:space="preserve">at all times </w:t>
      </w:r>
      <w:r w:rsidRPr="00C658EE">
        <w:rPr>
          <w:rFonts w:cs="Arial"/>
          <w:sz w:val="24"/>
          <w:szCs w:val="24"/>
        </w:rPr>
        <w:t>a scheme applying to the member’s employment</w:t>
      </w:r>
      <w:r w:rsidRPr="00C658EE">
        <w:rPr>
          <w:rStyle w:val="FootnoteReference"/>
          <w:rFonts w:cs="Arial"/>
          <w:sz w:val="24"/>
          <w:szCs w:val="24"/>
        </w:rPr>
        <w:footnoteReference w:id="11"/>
      </w:r>
      <w:r w:rsidRPr="00C658EE">
        <w:rPr>
          <w:rFonts w:cs="Arial"/>
          <w:sz w:val="24"/>
          <w:szCs w:val="24"/>
        </w:rPr>
        <w:t xml:space="preserve">. Accordingly, no revaluation will be applied while the member remains in service. When a termination of </w:t>
      </w:r>
      <w:r w:rsidRPr="00C658EE">
        <w:rPr>
          <w:rFonts w:cs="Arial"/>
          <w:b/>
          <w:bCs/>
          <w:iCs/>
          <w:sz w:val="24"/>
          <w:szCs w:val="24"/>
        </w:rPr>
        <w:t>relevant employment</w:t>
      </w:r>
      <w:r w:rsidRPr="00C658EE">
        <w:rPr>
          <w:rFonts w:cs="Arial"/>
          <w:sz w:val="24"/>
          <w:szCs w:val="24"/>
        </w:rPr>
        <w:t xml:space="preserve"> ultimately occurs and the preserved benefit comes to be calculated, the provisions of the Occupational Pension Schemes (Preservation of Benefits) (Special Calculations) Regulations 200</w:t>
      </w:r>
      <w:r w:rsidR="007E3B32" w:rsidRPr="00C658EE">
        <w:rPr>
          <w:rFonts w:cs="Arial"/>
          <w:sz w:val="24"/>
          <w:szCs w:val="24"/>
        </w:rPr>
        <w:t>2</w:t>
      </w:r>
      <w:r w:rsidR="007E3B32" w:rsidRPr="00C658EE">
        <w:rPr>
          <w:rStyle w:val="FootnoteReference"/>
          <w:rFonts w:cs="Arial"/>
          <w:sz w:val="24"/>
          <w:szCs w:val="24"/>
        </w:rPr>
        <w:footnoteReference w:id="12"/>
      </w:r>
      <w:r w:rsidRPr="00C658EE">
        <w:rPr>
          <w:rFonts w:cs="Arial"/>
          <w:sz w:val="24"/>
          <w:szCs w:val="24"/>
        </w:rPr>
        <w:t xml:space="preserve"> will apply. When the preserved benefit crystallises, enhancement will apply from the date of the switch to the new scheme until the date of actual termination of </w:t>
      </w:r>
      <w:r w:rsidRPr="00C658EE">
        <w:rPr>
          <w:rFonts w:cs="Arial"/>
          <w:b/>
          <w:bCs/>
          <w:iCs/>
          <w:sz w:val="24"/>
          <w:szCs w:val="24"/>
        </w:rPr>
        <w:t>relevant employment</w:t>
      </w:r>
      <w:r w:rsidRPr="00C658EE">
        <w:rPr>
          <w:rFonts w:cs="Arial"/>
          <w:sz w:val="24"/>
          <w:szCs w:val="24"/>
        </w:rPr>
        <w:t xml:space="preserve">. </w:t>
      </w:r>
    </w:p>
    <w:p w14:paraId="1B6BFC08" w14:textId="77777777" w:rsidR="0054352A" w:rsidRPr="00C658EE" w:rsidRDefault="0054352A" w:rsidP="0054352A">
      <w:pPr>
        <w:spacing w:after="0"/>
        <w:rPr>
          <w:rFonts w:cs="Arial"/>
          <w:sz w:val="24"/>
          <w:szCs w:val="24"/>
        </w:rPr>
      </w:pPr>
    </w:p>
    <w:p w14:paraId="156CED3D" w14:textId="77777777" w:rsidR="00691E7B" w:rsidRDefault="00691E7B" w:rsidP="0054352A">
      <w:pPr>
        <w:pStyle w:val="Heading3"/>
        <w:numPr>
          <w:ilvl w:val="0"/>
          <w:numId w:val="27"/>
        </w:numPr>
        <w:ind w:left="567" w:hanging="567"/>
      </w:pPr>
      <w:bookmarkStart w:id="16" w:name="_Toc97113214"/>
      <w:bookmarkStart w:id="17" w:name="_Toc226467056"/>
      <w:bookmarkStart w:id="18" w:name="_Toc226467259"/>
      <w:r w:rsidRPr="00C658EE">
        <w:lastRenderedPageBreak/>
        <w:t xml:space="preserve">Does statutory revaluation apply where a scheme freezes accrual </w:t>
      </w:r>
      <w:r w:rsidR="00BD7196" w:rsidRPr="00C658EE">
        <w:t xml:space="preserve">of service </w:t>
      </w:r>
      <w:r w:rsidRPr="00C658EE">
        <w:t>but maintains the final salary link</w:t>
      </w:r>
      <w:r w:rsidRPr="00C658EE">
        <w:rPr>
          <w:rStyle w:val="FootnoteReference"/>
          <w:rFonts w:cs="Arial"/>
          <w:iCs/>
          <w:szCs w:val="28"/>
        </w:rPr>
        <w:footnoteReference w:id="13"/>
      </w:r>
      <w:r w:rsidRPr="00C658EE">
        <w:t xml:space="preserve"> or some growth in salary</w:t>
      </w:r>
      <w:r w:rsidRPr="00C658EE">
        <w:rPr>
          <w:rStyle w:val="FootnoteReference"/>
          <w:rFonts w:cs="Arial"/>
          <w:iCs/>
          <w:szCs w:val="28"/>
        </w:rPr>
        <w:footnoteReference w:id="14"/>
      </w:r>
      <w:r w:rsidRPr="00C658EE">
        <w:t>?</w:t>
      </w:r>
      <w:bookmarkEnd w:id="16"/>
      <w:bookmarkEnd w:id="17"/>
      <w:bookmarkEnd w:id="18"/>
    </w:p>
    <w:p w14:paraId="41FE9D8F" w14:textId="389B48BC" w:rsidR="00691E7B" w:rsidRDefault="007A534E" w:rsidP="0054352A">
      <w:pPr>
        <w:spacing w:after="0"/>
        <w:rPr>
          <w:rFonts w:cs="Arial"/>
          <w:sz w:val="24"/>
          <w:szCs w:val="24"/>
        </w:rPr>
      </w:pPr>
      <w:r>
        <w:rPr>
          <w:rFonts w:cs="Arial"/>
          <w:iCs/>
          <w:sz w:val="24"/>
          <w:szCs w:val="24"/>
        </w:rPr>
        <w:t>A</w:t>
      </w:r>
      <w:r w:rsidR="00691E7B" w:rsidRPr="00C658EE">
        <w:rPr>
          <w:rFonts w:cs="Arial"/>
          <w:sz w:val="24"/>
          <w:szCs w:val="24"/>
        </w:rPr>
        <w:t xml:space="preserve">lthough accrual </w:t>
      </w:r>
      <w:r w:rsidR="00BD7196" w:rsidRPr="00C658EE">
        <w:rPr>
          <w:rFonts w:cs="Arial"/>
          <w:sz w:val="24"/>
          <w:szCs w:val="24"/>
        </w:rPr>
        <w:t xml:space="preserve">of service </w:t>
      </w:r>
      <w:r w:rsidR="00691E7B" w:rsidRPr="00C658EE">
        <w:rPr>
          <w:rFonts w:cs="Arial"/>
          <w:sz w:val="24"/>
          <w:szCs w:val="24"/>
        </w:rPr>
        <w:t xml:space="preserve">has ceased, keeping the link to final salary or allowing for some form of salary growth means that the pension is increasing and benefiting from the salary increases and therefore continues to apply to the member’s employment. Accordingly, there is no termination of </w:t>
      </w:r>
      <w:r w:rsidR="00691E7B" w:rsidRPr="00C658EE">
        <w:rPr>
          <w:rFonts w:cs="Arial"/>
          <w:b/>
          <w:bCs/>
          <w:iCs/>
          <w:sz w:val="24"/>
          <w:szCs w:val="24"/>
        </w:rPr>
        <w:t>relevant employment</w:t>
      </w:r>
      <w:r w:rsidR="00691E7B" w:rsidRPr="00C658EE">
        <w:rPr>
          <w:rFonts w:cs="Arial"/>
          <w:sz w:val="24"/>
          <w:szCs w:val="24"/>
        </w:rPr>
        <w:t xml:space="preserve"> and therefore a member’s benefit will not be subject to statutory revaluation. The fact that the scheme continues to apply to a member’s employment and that as such </w:t>
      </w:r>
      <w:r w:rsidR="00691E7B" w:rsidRPr="00C658EE">
        <w:rPr>
          <w:rFonts w:cs="Arial"/>
          <w:b/>
          <w:bCs/>
          <w:iCs/>
          <w:sz w:val="24"/>
          <w:szCs w:val="24"/>
        </w:rPr>
        <w:t>relevant employment</w:t>
      </w:r>
      <w:r w:rsidR="00691E7B" w:rsidRPr="00C658EE">
        <w:rPr>
          <w:rFonts w:cs="Arial"/>
          <w:sz w:val="24"/>
          <w:szCs w:val="24"/>
        </w:rPr>
        <w:t xml:space="preserve"> continues indicates that a member’s scheme service also continues to be </w:t>
      </w:r>
      <w:r w:rsidR="00D35358">
        <w:rPr>
          <w:rFonts w:cs="Arial"/>
          <w:sz w:val="24"/>
          <w:szCs w:val="24"/>
        </w:rPr>
        <w:t>‘</w:t>
      </w:r>
      <w:r w:rsidR="00691E7B" w:rsidRPr="00C658EE">
        <w:rPr>
          <w:rFonts w:cs="Arial"/>
          <w:sz w:val="24"/>
          <w:szCs w:val="24"/>
        </w:rPr>
        <w:t>reckonable</w:t>
      </w:r>
      <w:r w:rsidR="00D35358">
        <w:rPr>
          <w:rFonts w:cs="Arial"/>
          <w:sz w:val="24"/>
          <w:szCs w:val="24"/>
        </w:rPr>
        <w:t>’</w:t>
      </w:r>
      <w:r w:rsidR="00691E7B" w:rsidRPr="00C658EE">
        <w:rPr>
          <w:rFonts w:cs="Arial"/>
          <w:sz w:val="24"/>
          <w:szCs w:val="24"/>
        </w:rPr>
        <w:t>. Therefore</w:t>
      </w:r>
      <w:r w:rsidR="00D35358">
        <w:rPr>
          <w:rFonts w:cs="Arial"/>
          <w:sz w:val="24"/>
          <w:szCs w:val="24"/>
        </w:rPr>
        <w:t>,</w:t>
      </w:r>
      <w:r w:rsidR="00691E7B" w:rsidRPr="00C658EE">
        <w:rPr>
          <w:rFonts w:cs="Arial"/>
          <w:sz w:val="24"/>
          <w:szCs w:val="24"/>
        </w:rPr>
        <w:t xml:space="preserve"> </w:t>
      </w:r>
      <w:r w:rsidR="00691E7B" w:rsidRPr="00C658EE">
        <w:rPr>
          <w:rFonts w:cs="Arial"/>
          <w:b/>
          <w:bCs/>
          <w:iCs/>
          <w:sz w:val="24"/>
          <w:szCs w:val="24"/>
        </w:rPr>
        <w:t>reckonable service</w:t>
      </w:r>
      <w:r w:rsidR="00691E7B" w:rsidRPr="00C658EE">
        <w:rPr>
          <w:rFonts w:cs="Arial"/>
          <w:sz w:val="24"/>
          <w:szCs w:val="24"/>
        </w:rPr>
        <w:t xml:space="preserve"> also continues, notwithstanding the cessation of accrual</w:t>
      </w:r>
      <w:r w:rsidR="00BD7196" w:rsidRPr="00C658EE">
        <w:rPr>
          <w:rFonts w:cs="Arial"/>
          <w:sz w:val="24"/>
          <w:szCs w:val="24"/>
        </w:rPr>
        <w:t xml:space="preserve"> of service</w:t>
      </w:r>
      <w:r w:rsidR="00E41242" w:rsidRPr="00C658EE">
        <w:rPr>
          <w:rFonts w:cs="Arial"/>
          <w:sz w:val="24"/>
          <w:szCs w:val="24"/>
        </w:rPr>
        <w:t xml:space="preserve"> for pension purposes</w:t>
      </w:r>
      <w:r w:rsidR="00691E7B" w:rsidRPr="00C658EE">
        <w:rPr>
          <w:rFonts w:cs="Arial"/>
          <w:sz w:val="24"/>
          <w:szCs w:val="24"/>
        </w:rPr>
        <w:t xml:space="preserve">. </w:t>
      </w:r>
    </w:p>
    <w:p w14:paraId="5FEF4134" w14:textId="77777777" w:rsidR="00A451AD" w:rsidRPr="00C658EE" w:rsidRDefault="00A451AD" w:rsidP="0054352A">
      <w:pPr>
        <w:spacing w:after="0"/>
        <w:rPr>
          <w:rFonts w:cs="Arial"/>
          <w:sz w:val="24"/>
          <w:szCs w:val="24"/>
        </w:rPr>
      </w:pPr>
    </w:p>
    <w:p w14:paraId="78A541F4" w14:textId="77777777" w:rsidR="00691E7B" w:rsidRDefault="00691E7B" w:rsidP="0054352A">
      <w:pPr>
        <w:pStyle w:val="Heading3"/>
        <w:numPr>
          <w:ilvl w:val="0"/>
          <w:numId w:val="27"/>
        </w:numPr>
        <w:ind w:left="567" w:hanging="567"/>
      </w:pPr>
      <w:bookmarkStart w:id="19" w:name="_Toc97113215"/>
      <w:bookmarkStart w:id="20" w:name="_Toc226467057"/>
      <w:bookmarkStart w:id="21" w:name="_Toc226467260"/>
      <w:r w:rsidRPr="00C658EE">
        <w:t xml:space="preserve">What is the position where a scheme freezes accrual </w:t>
      </w:r>
      <w:r w:rsidR="00BD7196" w:rsidRPr="00C658EE">
        <w:t xml:space="preserve">of service </w:t>
      </w:r>
      <w:r w:rsidRPr="00C658EE">
        <w:t xml:space="preserve">but maintains the final salary link or some growth in salary </w:t>
      </w:r>
      <w:proofErr w:type="gramStart"/>
      <w:r w:rsidRPr="00C658EE">
        <w:t>and also</w:t>
      </w:r>
      <w:proofErr w:type="gramEnd"/>
      <w:r w:rsidRPr="00C658EE">
        <w:t xml:space="preserve"> offers a replacement scheme in respect of future service?</w:t>
      </w:r>
      <w:bookmarkEnd w:id="19"/>
      <w:bookmarkEnd w:id="20"/>
      <w:bookmarkEnd w:id="21"/>
    </w:p>
    <w:p w14:paraId="0D747573" w14:textId="77777777" w:rsidR="00691E7B" w:rsidRDefault="00691E7B" w:rsidP="0054352A">
      <w:pPr>
        <w:spacing w:after="0"/>
        <w:rPr>
          <w:rFonts w:cs="Arial"/>
          <w:sz w:val="24"/>
          <w:szCs w:val="24"/>
        </w:rPr>
      </w:pPr>
      <w:r w:rsidRPr="00C658EE">
        <w:rPr>
          <w:rFonts w:cs="Arial"/>
          <w:sz w:val="24"/>
          <w:szCs w:val="24"/>
        </w:rPr>
        <w:t xml:space="preserve">As noted at 3 above, keeping the link to final salary or allowing for some level of salary growth means that the scheme continues to apply to a member’s employment. Therefore, </w:t>
      </w:r>
      <w:r w:rsidRPr="00C658EE">
        <w:rPr>
          <w:rFonts w:cs="Arial"/>
          <w:b/>
          <w:bCs/>
          <w:iCs/>
          <w:sz w:val="24"/>
          <w:szCs w:val="24"/>
        </w:rPr>
        <w:t>relevant employment</w:t>
      </w:r>
      <w:r w:rsidRPr="00C658EE">
        <w:rPr>
          <w:rFonts w:cs="Arial"/>
          <w:sz w:val="24"/>
          <w:szCs w:val="24"/>
        </w:rPr>
        <w:t xml:space="preserve"> and </w:t>
      </w:r>
      <w:r w:rsidRPr="00C658EE">
        <w:rPr>
          <w:rFonts w:cs="Arial"/>
          <w:b/>
          <w:bCs/>
          <w:iCs/>
          <w:sz w:val="24"/>
          <w:szCs w:val="24"/>
        </w:rPr>
        <w:t>reckonable service</w:t>
      </w:r>
      <w:r w:rsidRPr="00C658EE">
        <w:rPr>
          <w:rFonts w:cs="Arial"/>
          <w:sz w:val="24"/>
          <w:szCs w:val="24"/>
        </w:rPr>
        <w:t xml:space="preserve"> continue. A member will accordingly accrue </w:t>
      </w:r>
      <w:r w:rsidRPr="00C658EE">
        <w:rPr>
          <w:rFonts w:cs="Arial"/>
          <w:b/>
          <w:bCs/>
          <w:iCs/>
          <w:sz w:val="24"/>
          <w:szCs w:val="24"/>
        </w:rPr>
        <w:t>reckonable service</w:t>
      </w:r>
      <w:r w:rsidRPr="00C658EE">
        <w:rPr>
          <w:rFonts w:cs="Arial"/>
          <w:sz w:val="24"/>
          <w:szCs w:val="24"/>
        </w:rPr>
        <w:t xml:space="preserve"> in both schemes simultaneously. Enhancement under the</w:t>
      </w:r>
      <w:r w:rsidR="00BD7196" w:rsidRPr="00C658EE">
        <w:rPr>
          <w:rFonts w:cs="Arial"/>
          <w:sz w:val="24"/>
          <w:szCs w:val="24"/>
        </w:rPr>
        <w:t xml:space="preserve"> Occupational Pension Schemes (Preservation of Benefits)</w:t>
      </w:r>
      <w:r w:rsidRPr="00C658EE">
        <w:rPr>
          <w:rFonts w:cs="Arial"/>
          <w:sz w:val="24"/>
          <w:szCs w:val="24"/>
        </w:rPr>
        <w:t xml:space="preserve"> </w:t>
      </w:r>
      <w:r w:rsidR="00BD7196" w:rsidRPr="00C658EE">
        <w:rPr>
          <w:rFonts w:cs="Arial"/>
          <w:sz w:val="24"/>
          <w:szCs w:val="24"/>
        </w:rPr>
        <w:t>(</w:t>
      </w:r>
      <w:r w:rsidRPr="00C658EE">
        <w:rPr>
          <w:rFonts w:cs="Arial"/>
          <w:sz w:val="24"/>
          <w:szCs w:val="24"/>
        </w:rPr>
        <w:t>Special Calculations</w:t>
      </w:r>
      <w:r w:rsidR="00BD7196" w:rsidRPr="00C658EE">
        <w:rPr>
          <w:rFonts w:cs="Arial"/>
          <w:sz w:val="24"/>
          <w:szCs w:val="24"/>
        </w:rPr>
        <w:t>)</w:t>
      </w:r>
      <w:r w:rsidRPr="00C658EE">
        <w:rPr>
          <w:rFonts w:cs="Arial"/>
          <w:sz w:val="24"/>
          <w:szCs w:val="24"/>
        </w:rPr>
        <w:t xml:space="preserve"> Regulations</w:t>
      </w:r>
      <w:r w:rsidR="00BD7196" w:rsidRPr="00C658EE">
        <w:rPr>
          <w:rFonts w:cs="Arial"/>
          <w:sz w:val="24"/>
          <w:szCs w:val="24"/>
        </w:rPr>
        <w:t xml:space="preserve"> 2002</w:t>
      </w:r>
      <w:r w:rsidRPr="00C658EE">
        <w:rPr>
          <w:rFonts w:cs="Arial"/>
          <w:sz w:val="24"/>
          <w:szCs w:val="24"/>
        </w:rPr>
        <w:t xml:space="preserve"> will operate from the date of termination of </w:t>
      </w:r>
      <w:r w:rsidRPr="00C658EE">
        <w:rPr>
          <w:rFonts w:cs="Arial"/>
          <w:b/>
          <w:bCs/>
          <w:iCs/>
          <w:sz w:val="24"/>
          <w:szCs w:val="24"/>
        </w:rPr>
        <w:t>reckonable</w:t>
      </w:r>
      <w:r w:rsidRPr="00C658EE">
        <w:rPr>
          <w:rFonts w:cs="Arial"/>
          <w:i/>
          <w:sz w:val="24"/>
          <w:szCs w:val="24"/>
        </w:rPr>
        <w:t xml:space="preserve"> </w:t>
      </w:r>
      <w:r w:rsidRPr="00C658EE">
        <w:rPr>
          <w:rFonts w:cs="Arial"/>
          <w:b/>
          <w:bCs/>
          <w:iCs/>
          <w:sz w:val="24"/>
          <w:szCs w:val="24"/>
        </w:rPr>
        <w:t>service</w:t>
      </w:r>
      <w:r w:rsidRPr="00C658EE">
        <w:rPr>
          <w:rFonts w:cs="Arial"/>
          <w:sz w:val="24"/>
          <w:szCs w:val="24"/>
        </w:rPr>
        <w:t xml:space="preserve"> to which the calculation relates to the date of termination of </w:t>
      </w:r>
      <w:r w:rsidRPr="00C658EE">
        <w:rPr>
          <w:rFonts w:cs="Arial"/>
          <w:b/>
          <w:bCs/>
          <w:iCs/>
          <w:sz w:val="24"/>
          <w:szCs w:val="24"/>
        </w:rPr>
        <w:t>relevant</w:t>
      </w:r>
      <w:r w:rsidRPr="00C658EE">
        <w:rPr>
          <w:rFonts w:cs="Arial"/>
          <w:i/>
          <w:sz w:val="24"/>
          <w:szCs w:val="24"/>
        </w:rPr>
        <w:t xml:space="preserve"> </w:t>
      </w:r>
      <w:r w:rsidRPr="00C658EE">
        <w:rPr>
          <w:rFonts w:cs="Arial"/>
          <w:b/>
          <w:bCs/>
          <w:iCs/>
          <w:sz w:val="24"/>
          <w:szCs w:val="24"/>
        </w:rPr>
        <w:t>employment</w:t>
      </w:r>
      <w:r w:rsidRPr="00C658EE">
        <w:rPr>
          <w:rFonts w:cs="Arial"/>
          <w:sz w:val="24"/>
          <w:szCs w:val="24"/>
        </w:rPr>
        <w:t>. In this case, those dates would coincide so there would be no period in respect of which enhancement would apply. In other words</w:t>
      </w:r>
      <w:r w:rsidR="00A451AD">
        <w:rPr>
          <w:rFonts w:cs="Arial"/>
          <w:sz w:val="24"/>
          <w:szCs w:val="24"/>
        </w:rPr>
        <w:t>,</w:t>
      </w:r>
      <w:r w:rsidRPr="00C658EE">
        <w:rPr>
          <w:rFonts w:cs="Arial"/>
          <w:sz w:val="24"/>
          <w:szCs w:val="24"/>
        </w:rPr>
        <w:t xml:space="preserve"> the enhancement period would be zero.</w:t>
      </w:r>
    </w:p>
    <w:p w14:paraId="47CA6CCE" w14:textId="77777777" w:rsidR="00EA2D0F" w:rsidRDefault="00EA2D0F" w:rsidP="0054352A">
      <w:pPr>
        <w:spacing w:after="0"/>
        <w:rPr>
          <w:rFonts w:cs="Arial"/>
          <w:sz w:val="24"/>
          <w:szCs w:val="24"/>
        </w:rPr>
      </w:pPr>
    </w:p>
    <w:p w14:paraId="5EB0CB8A" w14:textId="77777777" w:rsidR="00691E7B" w:rsidRPr="0054352A" w:rsidRDefault="00691E7B" w:rsidP="0054352A">
      <w:pPr>
        <w:pStyle w:val="Heading3"/>
        <w:numPr>
          <w:ilvl w:val="0"/>
          <w:numId w:val="27"/>
        </w:numPr>
        <w:ind w:left="567" w:hanging="567"/>
      </w:pPr>
      <w:bookmarkStart w:id="22" w:name="_Toc97113216"/>
      <w:bookmarkStart w:id="23" w:name="_Toc226467058"/>
      <w:bookmarkStart w:id="24" w:name="_Toc226467261"/>
      <w:r w:rsidRPr="0054352A">
        <w:t>When does an alteration in the basis of calculating long service benefit arise triggering the phasing in requirements?</w:t>
      </w:r>
      <w:bookmarkEnd w:id="22"/>
      <w:bookmarkEnd w:id="23"/>
      <w:bookmarkEnd w:id="24"/>
    </w:p>
    <w:p w14:paraId="4903977C" w14:textId="0FDAD35D" w:rsidR="00691E7B" w:rsidRPr="00C658EE" w:rsidRDefault="00691E7B" w:rsidP="0054352A">
      <w:pPr>
        <w:pStyle w:val="ListParagraph"/>
        <w:spacing w:after="0"/>
        <w:ind w:left="0"/>
        <w:rPr>
          <w:rFonts w:cs="Arial"/>
          <w:sz w:val="24"/>
          <w:szCs w:val="24"/>
        </w:rPr>
      </w:pPr>
      <w:r w:rsidRPr="00C658EE">
        <w:rPr>
          <w:rFonts w:cs="Arial"/>
          <w:sz w:val="24"/>
          <w:szCs w:val="24"/>
        </w:rPr>
        <w:t xml:space="preserve">As detailed on page </w:t>
      </w:r>
      <w:r w:rsidR="00BD7196" w:rsidRPr="00C658EE">
        <w:rPr>
          <w:rFonts w:cs="Arial"/>
          <w:sz w:val="24"/>
          <w:szCs w:val="24"/>
        </w:rPr>
        <w:t>3</w:t>
      </w:r>
      <w:r w:rsidRPr="00C658EE">
        <w:rPr>
          <w:rFonts w:cs="Arial"/>
          <w:sz w:val="24"/>
          <w:szCs w:val="24"/>
        </w:rPr>
        <w:t xml:space="preserve">, </w:t>
      </w:r>
      <w:r w:rsidRPr="00C658EE">
        <w:rPr>
          <w:rFonts w:cs="Arial"/>
          <w:b/>
          <w:bCs/>
          <w:sz w:val="24"/>
          <w:szCs w:val="24"/>
        </w:rPr>
        <w:t>long service benefit</w:t>
      </w:r>
      <w:r w:rsidRPr="00C658EE">
        <w:rPr>
          <w:rFonts w:cs="Arial"/>
          <w:sz w:val="24"/>
          <w:szCs w:val="24"/>
        </w:rPr>
        <w:t xml:space="preserve"> is defined as </w:t>
      </w:r>
      <w:r w:rsidR="00501885">
        <w:rPr>
          <w:rFonts w:cs="Arial"/>
          <w:sz w:val="24"/>
          <w:szCs w:val="24"/>
        </w:rPr>
        <w:t>‘</w:t>
      </w:r>
      <w:r w:rsidRPr="00C658EE">
        <w:rPr>
          <w:rFonts w:cs="Arial"/>
          <w:sz w:val="24"/>
          <w:szCs w:val="24"/>
        </w:rPr>
        <w:t xml:space="preserve">…the benefits which </w:t>
      </w:r>
      <w:r w:rsidR="00BD7196" w:rsidRPr="00C658EE">
        <w:rPr>
          <w:rFonts w:cs="Arial"/>
          <w:sz w:val="24"/>
          <w:szCs w:val="24"/>
        </w:rPr>
        <w:t>wi</w:t>
      </w:r>
      <w:r w:rsidRPr="00C658EE">
        <w:rPr>
          <w:rFonts w:cs="Arial"/>
          <w:sz w:val="24"/>
          <w:szCs w:val="24"/>
        </w:rPr>
        <w:t xml:space="preserve">ll be payable under a scheme in accordance with an obligation to </w:t>
      </w:r>
      <w:r w:rsidR="00BD7196" w:rsidRPr="00C658EE">
        <w:rPr>
          <w:rFonts w:cs="Arial"/>
          <w:sz w:val="24"/>
          <w:szCs w:val="24"/>
        </w:rPr>
        <w:t>or</w:t>
      </w:r>
      <w:r w:rsidRPr="00C658EE">
        <w:rPr>
          <w:rFonts w:cs="Arial"/>
          <w:sz w:val="24"/>
          <w:szCs w:val="24"/>
        </w:rPr>
        <w:t xml:space="preserve"> in respect of a member of a scheme on the assumption that he remains in </w:t>
      </w:r>
      <w:r w:rsidRPr="00C658EE">
        <w:rPr>
          <w:rFonts w:cs="Arial"/>
          <w:b/>
          <w:bCs/>
          <w:iCs/>
          <w:sz w:val="24"/>
          <w:szCs w:val="24"/>
        </w:rPr>
        <w:t>relevant</w:t>
      </w:r>
      <w:r w:rsidRPr="00C658EE">
        <w:rPr>
          <w:rFonts w:cs="Arial"/>
          <w:i/>
          <w:sz w:val="24"/>
          <w:szCs w:val="24"/>
        </w:rPr>
        <w:t xml:space="preserve"> </w:t>
      </w:r>
      <w:r w:rsidRPr="00C658EE">
        <w:rPr>
          <w:rFonts w:cs="Arial"/>
          <w:b/>
          <w:bCs/>
          <w:iCs/>
          <w:sz w:val="24"/>
          <w:szCs w:val="24"/>
        </w:rPr>
        <w:t>employment</w:t>
      </w:r>
      <w:r w:rsidRPr="00C658EE">
        <w:rPr>
          <w:rFonts w:cs="Arial"/>
          <w:sz w:val="24"/>
          <w:szCs w:val="24"/>
        </w:rPr>
        <w:t xml:space="preserve"> until such time as he attains normal pensionable age.</w:t>
      </w:r>
      <w:r w:rsidR="00501885">
        <w:rPr>
          <w:rFonts w:cs="Arial"/>
          <w:sz w:val="24"/>
          <w:szCs w:val="24"/>
        </w:rPr>
        <w:t>’</w:t>
      </w:r>
    </w:p>
    <w:p w14:paraId="29D7477D" w14:textId="77777777" w:rsidR="00691E7B" w:rsidRPr="00C658EE" w:rsidRDefault="00691E7B" w:rsidP="0054352A">
      <w:pPr>
        <w:pStyle w:val="ListParagraph"/>
        <w:spacing w:after="0"/>
        <w:ind w:left="0"/>
        <w:rPr>
          <w:rFonts w:cs="Arial"/>
          <w:sz w:val="24"/>
          <w:szCs w:val="24"/>
        </w:rPr>
      </w:pPr>
    </w:p>
    <w:p w14:paraId="42DE5F46" w14:textId="58EB3E59" w:rsidR="00691E7B" w:rsidRPr="00C658EE" w:rsidRDefault="00691E7B" w:rsidP="0054352A">
      <w:pPr>
        <w:pStyle w:val="ListParagraph"/>
        <w:spacing w:after="0"/>
        <w:ind w:left="0"/>
        <w:rPr>
          <w:rFonts w:cs="Arial"/>
          <w:sz w:val="24"/>
          <w:szCs w:val="24"/>
        </w:rPr>
      </w:pPr>
      <w:r w:rsidRPr="00C658EE">
        <w:rPr>
          <w:rFonts w:cs="Arial"/>
          <w:sz w:val="24"/>
          <w:szCs w:val="24"/>
        </w:rPr>
        <w:t xml:space="preserve">Having regard to this definition, in the </w:t>
      </w:r>
      <w:r w:rsidR="003D73B1" w:rsidRPr="00C658EE">
        <w:rPr>
          <w:rFonts w:cs="Arial"/>
          <w:sz w:val="24"/>
          <w:szCs w:val="24"/>
        </w:rPr>
        <w:t>Authority</w:t>
      </w:r>
      <w:r w:rsidRPr="00C658EE">
        <w:rPr>
          <w:rFonts w:cs="Arial"/>
          <w:sz w:val="24"/>
          <w:szCs w:val="24"/>
        </w:rPr>
        <w:t xml:space="preserve">’s view, if there is a change in the obligation under the scheme, </w:t>
      </w:r>
      <w:r w:rsidRPr="00C658EE">
        <w:rPr>
          <w:rFonts w:cs="Arial"/>
          <w:b/>
          <w:bCs/>
          <w:sz w:val="24"/>
          <w:szCs w:val="24"/>
        </w:rPr>
        <w:t>phasing in</w:t>
      </w:r>
      <w:r w:rsidRPr="00C658EE">
        <w:rPr>
          <w:rFonts w:cs="Arial"/>
          <w:sz w:val="24"/>
          <w:szCs w:val="24"/>
        </w:rPr>
        <w:t xml:space="preserve"> of the relevant change under the preservation </w:t>
      </w:r>
      <w:r w:rsidRPr="00C658EE">
        <w:rPr>
          <w:rFonts w:cs="Arial"/>
          <w:sz w:val="24"/>
          <w:szCs w:val="24"/>
        </w:rPr>
        <w:lastRenderedPageBreak/>
        <w:t xml:space="preserve">regime will be triggered. For instance, a cut in every member’s basic salary (where basic salary is pensionable salary) by the employer will immediately reduce the benefits payable under a scheme. Such a reduction is not subject to </w:t>
      </w:r>
      <w:r w:rsidRPr="00C658EE">
        <w:rPr>
          <w:rFonts w:cs="Arial"/>
          <w:b/>
          <w:bCs/>
          <w:sz w:val="24"/>
          <w:szCs w:val="24"/>
        </w:rPr>
        <w:t>phasing in</w:t>
      </w:r>
      <w:r w:rsidRPr="00C658EE">
        <w:rPr>
          <w:rFonts w:cs="Arial"/>
          <w:sz w:val="24"/>
          <w:szCs w:val="24"/>
        </w:rPr>
        <w:t xml:space="preserve"> as there is no change in the obligation under the scheme</w:t>
      </w:r>
      <w:r w:rsidR="00A025FD" w:rsidRPr="00C658EE">
        <w:rPr>
          <w:rFonts w:cs="Arial"/>
          <w:sz w:val="24"/>
          <w:szCs w:val="24"/>
        </w:rPr>
        <w:t xml:space="preserve"> with respect to the </w:t>
      </w:r>
      <w:proofErr w:type="gramStart"/>
      <w:r w:rsidR="00A025FD" w:rsidRPr="00C658EE">
        <w:rPr>
          <w:rFonts w:cs="Arial"/>
          <w:sz w:val="24"/>
          <w:szCs w:val="24"/>
        </w:rPr>
        <w:t>manner in which</w:t>
      </w:r>
      <w:proofErr w:type="gramEnd"/>
      <w:r w:rsidR="00A025FD" w:rsidRPr="00C658EE">
        <w:rPr>
          <w:rFonts w:cs="Arial"/>
          <w:sz w:val="24"/>
          <w:szCs w:val="24"/>
        </w:rPr>
        <w:t xml:space="preserve"> benefits are calculated</w:t>
      </w:r>
      <w:r w:rsidRPr="00C658EE">
        <w:rPr>
          <w:rFonts w:cs="Arial"/>
          <w:sz w:val="24"/>
          <w:szCs w:val="24"/>
        </w:rPr>
        <w:t>, i.e.</w:t>
      </w:r>
      <w:r w:rsidR="00501885">
        <w:rPr>
          <w:rFonts w:cs="Arial"/>
          <w:sz w:val="24"/>
          <w:szCs w:val="24"/>
        </w:rPr>
        <w:t>,</w:t>
      </w:r>
      <w:r w:rsidRPr="00C658EE">
        <w:rPr>
          <w:rFonts w:cs="Arial"/>
          <w:sz w:val="24"/>
          <w:szCs w:val="24"/>
        </w:rPr>
        <w:t xml:space="preserve"> benefits are still</w:t>
      </w:r>
      <w:r w:rsidR="00A025FD" w:rsidRPr="00C658EE">
        <w:rPr>
          <w:rFonts w:cs="Arial"/>
          <w:sz w:val="24"/>
          <w:szCs w:val="24"/>
        </w:rPr>
        <w:t xml:space="preserve"> based on pensionable salary.  </w:t>
      </w:r>
      <w:r w:rsidRPr="00C658EE">
        <w:rPr>
          <w:rFonts w:cs="Arial"/>
          <w:sz w:val="24"/>
          <w:szCs w:val="24"/>
        </w:rPr>
        <w:t>However, a change to the definition of pensionable sal</w:t>
      </w:r>
      <w:r w:rsidR="00A025FD" w:rsidRPr="00C658EE">
        <w:rPr>
          <w:rFonts w:cs="Arial"/>
          <w:sz w:val="24"/>
          <w:szCs w:val="24"/>
        </w:rPr>
        <w:t>ary could</w:t>
      </w:r>
      <w:r w:rsidRPr="00C658EE">
        <w:rPr>
          <w:rFonts w:cs="Arial"/>
          <w:sz w:val="24"/>
          <w:szCs w:val="24"/>
        </w:rPr>
        <w:t xml:space="preserve"> result in the </w:t>
      </w:r>
      <w:r w:rsidRPr="00C658EE">
        <w:rPr>
          <w:rFonts w:cs="Arial"/>
          <w:b/>
          <w:bCs/>
          <w:sz w:val="24"/>
          <w:szCs w:val="24"/>
        </w:rPr>
        <w:t>phasing in</w:t>
      </w:r>
      <w:r w:rsidRPr="00C658EE">
        <w:rPr>
          <w:rFonts w:cs="Arial"/>
          <w:sz w:val="24"/>
          <w:szCs w:val="24"/>
        </w:rPr>
        <w:t xml:space="preserve"> requirement being triggered.</w:t>
      </w:r>
    </w:p>
    <w:p w14:paraId="67F9EA9A" w14:textId="77777777" w:rsidR="00691E7B" w:rsidRPr="00C658EE" w:rsidRDefault="00691E7B" w:rsidP="0054352A">
      <w:pPr>
        <w:pStyle w:val="ListParagraph"/>
        <w:spacing w:after="0"/>
        <w:rPr>
          <w:rFonts w:cs="Arial"/>
          <w:sz w:val="24"/>
          <w:szCs w:val="24"/>
        </w:rPr>
      </w:pPr>
    </w:p>
    <w:p w14:paraId="79A9FE8B" w14:textId="15A68DDE" w:rsidR="00691E7B" w:rsidRPr="00C658EE" w:rsidRDefault="00691E7B" w:rsidP="0054352A">
      <w:pPr>
        <w:pStyle w:val="Heading3"/>
        <w:numPr>
          <w:ilvl w:val="0"/>
          <w:numId w:val="27"/>
        </w:numPr>
        <w:ind w:left="567" w:hanging="567"/>
        <w:rPr>
          <w:sz w:val="28"/>
        </w:rPr>
      </w:pPr>
      <w:bookmarkStart w:id="25" w:name="_Toc97113217"/>
      <w:bookmarkStart w:id="26" w:name="_Toc226467059"/>
      <w:bookmarkStart w:id="27" w:name="_Toc226467262"/>
      <w:r w:rsidRPr="00C658EE">
        <w:t xml:space="preserve">Do the provisions of paragraph 2(2) of Part A of the Second Schedule concerning phasing in apply where a scheme freezes accrual </w:t>
      </w:r>
      <w:r w:rsidR="00BD7196" w:rsidRPr="00C658EE">
        <w:t xml:space="preserve">of service </w:t>
      </w:r>
      <w:r w:rsidRPr="00C658EE">
        <w:t>and salary?</w:t>
      </w:r>
      <w:bookmarkEnd w:id="25"/>
      <w:bookmarkEnd w:id="26"/>
      <w:bookmarkEnd w:id="27"/>
    </w:p>
    <w:p w14:paraId="026FB33B" w14:textId="7EEE6B12" w:rsidR="00691E7B" w:rsidRDefault="00691E7B" w:rsidP="0054352A">
      <w:pPr>
        <w:spacing w:after="0"/>
        <w:rPr>
          <w:rFonts w:cs="Arial"/>
          <w:sz w:val="24"/>
          <w:szCs w:val="24"/>
        </w:rPr>
      </w:pPr>
      <w:r w:rsidRPr="00C658EE">
        <w:rPr>
          <w:rFonts w:cs="Arial"/>
          <w:sz w:val="24"/>
          <w:szCs w:val="24"/>
        </w:rPr>
        <w:t xml:space="preserve">Paragraph 2(2) of Part A of the Second Schedule applies where the basis of calculating long service is altered “between ...the date of commencement of the member’s </w:t>
      </w:r>
      <w:r w:rsidR="00501885" w:rsidRPr="00501885">
        <w:rPr>
          <w:rFonts w:cs="Arial"/>
          <w:b/>
          <w:sz w:val="24"/>
          <w:szCs w:val="24"/>
        </w:rPr>
        <w:t>relevant employment</w:t>
      </w:r>
      <w:r w:rsidRPr="00C658EE">
        <w:rPr>
          <w:rFonts w:cs="Arial"/>
          <w:sz w:val="24"/>
          <w:szCs w:val="24"/>
        </w:rPr>
        <w:t xml:space="preserve"> and the date of termination of the member’s </w:t>
      </w:r>
      <w:r w:rsidR="00501885" w:rsidRPr="00501885">
        <w:rPr>
          <w:rFonts w:cs="Arial"/>
          <w:b/>
          <w:sz w:val="24"/>
          <w:szCs w:val="24"/>
        </w:rPr>
        <w:t>relevant employment</w:t>
      </w:r>
      <w:r w:rsidRPr="00C658EE">
        <w:rPr>
          <w:rFonts w:cs="Arial"/>
          <w:sz w:val="24"/>
          <w:szCs w:val="24"/>
        </w:rPr>
        <w:t>...</w:t>
      </w:r>
      <w:r w:rsidR="002E3A07" w:rsidRPr="00C658EE">
        <w:rPr>
          <w:rFonts w:cs="Arial"/>
          <w:sz w:val="24"/>
          <w:szCs w:val="24"/>
        </w:rPr>
        <w:t>”</w:t>
      </w:r>
      <w:r w:rsidRPr="00C658EE">
        <w:rPr>
          <w:rFonts w:cs="Arial"/>
          <w:sz w:val="24"/>
          <w:szCs w:val="24"/>
        </w:rPr>
        <w:t xml:space="preserve"> See question 1 above. As noted, in the case of a frozen scheme, freezing accrual </w:t>
      </w:r>
      <w:r w:rsidR="00BD7196" w:rsidRPr="00C658EE">
        <w:rPr>
          <w:rFonts w:cs="Arial"/>
          <w:sz w:val="24"/>
          <w:szCs w:val="24"/>
        </w:rPr>
        <w:t xml:space="preserve">of service </w:t>
      </w:r>
      <w:r w:rsidRPr="00C658EE">
        <w:rPr>
          <w:rFonts w:cs="Arial"/>
          <w:sz w:val="24"/>
          <w:szCs w:val="24"/>
        </w:rPr>
        <w:t xml:space="preserve">and salary will trigger a termination of </w:t>
      </w:r>
      <w:r w:rsidR="00501885" w:rsidRPr="00C658EE">
        <w:rPr>
          <w:rFonts w:cs="Arial"/>
          <w:b/>
          <w:bCs/>
          <w:sz w:val="24"/>
          <w:szCs w:val="24"/>
        </w:rPr>
        <w:t>relevant employment</w:t>
      </w:r>
      <w:r w:rsidRPr="00C658EE">
        <w:rPr>
          <w:rFonts w:cs="Arial"/>
          <w:sz w:val="24"/>
          <w:szCs w:val="24"/>
        </w:rPr>
        <w:t xml:space="preserve"> and no </w:t>
      </w:r>
      <w:r w:rsidR="00501885" w:rsidRPr="00C658EE">
        <w:rPr>
          <w:rFonts w:cs="Arial"/>
          <w:b/>
          <w:bCs/>
          <w:sz w:val="24"/>
          <w:szCs w:val="24"/>
        </w:rPr>
        <w:t>relevant employment</w:t>
      </w:r>
      <w:r w:rsidRPr="00C658EE">
        <w:rPr>
          <w:rFonts w:cs="Arial"/>
          <w:sz w:val="24"/>
          <w:szCs w:val="24"/>
        </w:rPr>
        <w:t xml:space="preserve"> occurs following this date. There is no alteration in the basis of calculating </w:t>
      </w:r>
      <w:r w:rsidRPr="00C658EE">
        <w:rPr>
          <w:rFonts w:cs="Arial"/>
          <w:b/>
          <w:bCs/>
          <w:sz w:val="24"/>
          <w:szCs w:val="24"/>
        </w:rPr>
        <w:t>long service benefit</w:t>
      </w:r>
      <w:r w:rsidRPr="00C658EE">
        <w:rPr>
          <w:rFonts w:cs="Arial"/>
          <w:sz w:val="24"/>
          <w:szCs w:val="24"/>
        </w:rPr>
        <w:t xml:space="preserve"> </w:t>
      </w:r>
      <w:r w:rsidR="00BD7196" w:rsidRPr="00C658EE">
        <w:rPr>
          <w:rFonts w:cs="Arial"/>
          <w:sz w:val="24"/>
          <w:szCs w:val="24"/>
        </w:rPr>
        <w:t>between</w:t>
      </w:r>
      <w:r w:rsidRPr="00C658EE">
        <w:rPr>
          <w:rFonts w:cs="Arial"/>
          <w:sz w:val="24"/>
          <w:szCs w:val="24"/>
        </w:rPr>
        <w:t xml:space="preserve"> the period of commencement and termination of </w:t>
      </w:r>
      <w:r w:rsidR="00501885" w:rsidRPr="00C658EE">
        <w:rPr>
          <w:rFonts w:cs="Arial"/>
          <w:b/>
          <w:bCs/>
          <w:sz w:val="24"/>
          <w:szCs w:val="24"/>
        </w:rPr>
        <w:t>relevant employment</w:t>
      </w:r>
      <w:r w:rsidRPr="00C658EE">
        <w:rPr>
          <w:rFonts w:cs="Arial"/>
          <w:sz w:val="24"/>
          <w:szCs w:val="24"/>
        </w:rPr>
        <w:t xml:space="preserve">. Accordingly, paragraph 2(2) of the Second Schedule should not apply and </w:t>
      </w:r>
      <w:r w:rsidRPr="00C658EE">
        <w:rPr>
          <w:rFonts w:cs="Arial"/>
          <w:b/>
          <w:bCs/>
          <w:sz w:val="24"/>
          <w:szCs w:val="24"/>
        </w:rPr>
        <w:t>phasing in</w:t>
      </w:r>
      <w:r w:rsidRPr="00C658EE">
        <w:rPr>
          <w:rFonts w:cs="Arial"/>
          <w:sz w:val="24"/>
          <w:szCs w:val="24"/>
        </w:rPr>
        <w:t xml:space="preserve"> of the preserved benefit should not arise in these circumstances. </w:t>
      </w:r>
    </w:p>
    <w:p w14:paraId="123B8A58" w14:textId="77777777" w:rsidR="00EA2D0F" w:rsidRPr="00C658EE" w:rsidRDefault="00EA2D0F" w:rsidP="0054352A">
      <w:pPr>
        <w:spacing w:after="0"/>
        <w:rPr>
          <w:rFonts w:cs="Arial"/>
          <w:sz w:val="24"/>
          <w:szCs w:val="24"/>
        </w:rPr>
      </w:pPr>
    </w:p>
    <w:p w14:paraId="11371662" w14:textId="47491A0B" w:rsidR="00691E7B" w:rsidRPr="00C658EE" w:rsidRDefault="00691E7B" w:rsidP="0054352A">
      <w:pPr>
        <w:pStyle w:val="Heading3"/>
        <w:numPr>
          <w:ilvl w:val="0"/>
          <w:numId w:val="27"/>
        </w:numPr>
        <w:ind w:left="567" w:hanging="567"/>
        <w:rPr>
          <w:sz w:val="28"/>
        </w:rPr>
      </w:pPr>
      <w:bookmarkStart w:id="28" w:name="_Toc97113218"/>
      <w:bookmarkStart w:id="29" w:name="_Toc226467060"/>
      <w:bookmarkStart w:id="30" w:name="_Toc226467263"/>
      <w:r w:rsidRPr="00C658EE">
        <w:t xml:space="preserve">Do the provisions of paragraph 2(2) of Part A of the Second Schedule concerning phasing in apply where a scheme maintains accrual </w:t>
      </w:r>
      <w:r w:rsidR="00BD7196" w:rsidRPr="00C658EE">
        <w:t xml:space="preserve">of service </w:t>
      </w:r>
      <w:r w:rsidRPr="005C7945">
        <w:t>but</w:t>
      </w:r>
      <w:r w:rsidRPr="00CF1808">
        <w:t xml:space="preserve"> alters the link to final salary</w:t>
      </w:r>
      <w:r w:rsidRPr="00CF1808">
        <w:rPr>
          <w:rStyle w:val="FootnoteReference"/>
          <w:rFonts w:cs="Arial"/>
          <w:iCs/>
          <w:szCs w:val="28"/>
        </w:rPr>
        <w:footnoteReference w:id="15"/>
      </w:r>
      <w:r w:rsidRPr="00CF1808">
        <w:t>?</w:t>
      </w:r>
      <w:bookmarkEnd w:id="28"/>
      <w:bookmarkEnd w:id="29"/>
      <w:bookmarkEnd w:id="30"/>
    </w:p>
    <w:p w14:paraId="20B6F0F9" w14:textId="5A78F8A7" w:rsidR="00691E7B" w:rsidRPr="00C658EE" w:rsidRDefault="00691E7B" w:rsidP="0054352A">
      <w:pPr>
        <w:spacing w:after="0"/>
        <w:rPr>
          <w:rFonts w:cs="Arial"/>
          <w:sz w:val="24"/>
          <w:szCs w:val="24"/>
        </w:rPr>
      </w:pPr>
      <w:r w:rsidRPr="00C658EE">
        <w:rPr>
          <w:rFonts w:cs="Arial"/>
          <w:sz w:val="24"/>
          <w:szCs w:val="24"/>
        </w:rPr>
        <w:t xml:space="preserve">In these cases, </w:t>
      </w:r>
      <w:proofErr w:type="gramStart"/>
      <w:r w:rsidRPr="00C658EE">
        <w:rPr>
          <w:rFonts w:cs="Arial"/>
          <w:sz w:val="24"/>
          <w:szCs w:val="24"/>
        </w:rPr>
        <w:t>it is clear that as</w:t>
      </w:r>
      <w:proofErr w:type="gramEnd"/>
      <w:r w:rsidRPr="00C658EE">
        <w:rPr>
          <w:rFonts w:cs="Arial"/>
          <w:sz w:val="24"/>
          <w:szCs w:val="24"/>
        </w:rPr>
        <w:t xml:space="preserve"> accrual continues, the scheme continues to apply to a member’s employment and therefore there is no termination of </w:t>
      </w:r>
      <w:r w:rsidR="00501885" w:rsidRPr="00C658EE">
        <w:rPr>
          <w:rFonts w:cs="Arial"/>
          <w:b/>
          <w:bCs/>
          <w:sz w:val="24"/>
          <w:szCs w:val="24"/>
        </w:rPr>
        <w:t>relevant employment</w:t>
      </w:r>
      <w:r w:rsidRPr="00C658EE">
        <w:rPr>
          <w:rFonts w:cs="Arial"/>
          <w:sz w:val="24"/>
          <w:szCs w:val="24"/>
        </w:rPr>
        <w:t xml:space="preserve"> or </w:t>
      </w:r>
      <w:r w:rsidRPr="00C658EE">
        <w:rPr>
          <w:rFonts w:cs="Arial"/>
          <w:b/>
          <w:bCs/>
          <w:iCs/>
          <w:sz w:val="24"/>
          <w:szCs w:val="24"/>
        </w:rPr>
        <w:t>reckonable</w:t>
      </w:r>
      <w:r w:rsidRPr="00C658EE">
        <w:rPr>
          <w:rFonts w:cs="Arial"/>
          <w:i/>
          <w:sz w:val="24"/>
          <w:szCs w:val="24"/>
        </w:rPr>
        <w:t xml:space="preserve"> </w:t>
      </w:r>
      <w:r w:rsidRPr="00C658EE">
        <w:rPr>
          <w:rFonts w:cs="Arial"/>
          <w:b/>
          <w:bCs/>
          <w:iCs/>
          <w:sz w:val="24"/>
          <w:szCs w:val="24"/>
        </w:rPr>
        <w:t>service</w:t>
      </w:r>
      <w:r w:rsidRPr="00C658EE">
        <w:rPr>
          <w:rFonts w:cs="Arial"/>
          <w:sz w:val="24"/>
          <w:szCs w:val="24"/>
        </w:rPr>
        <w:t xml:space="preserve">. The issue therefore is whether such a change amounts to an alteration in the basis of calculating </w:t>
      </w:r>
      <w:r w:rsidRPr="00C658EE">
        <w:rPr>
          <w:rFonts w:cs="Arial"/>
          <w:b/>
          <w:bCs/>
          <w:sz w:val="24"/>
          <w:szCs w:val="24"/>
        </w:rPr>
        <w:t>long service benefit</w:t>
      </w:r>
      <w:r w:rsidRPr="00C658EE">
        <w:rPr>
          <w:rFonts w:cs="Arial"/>
          <w:sz w:val="24"/>
          <w:szCs w:val="24"/>
        </w:rPr>
        <w:t xml:space="preserve"> which must be phased in. Assuming the change is </w:t>
      </w:r>
      <w:proofErr w:type="gramStart"/>
      <w:r w:rsidRPr="00C658EE">
        <w:rPr>
          <w:rFonts w:cs="Arial"/>
          <w:sz w:val="24"/>
          <w:szCs w:val="24"/>
        </w:rPr>
        <w:t>effected</w:t>
      </w:r>
      <w:proofErr w:type="gramEnd"/>
      <w:r w:rsidRPr="00C658EE">
        <w:rPr>
          <w:rFonts w:cs="Arial"/>
          <w:sz w:val="24"/>
          <w:szCs w:val="24"/>
        </w:rPr>
        <w:t xml:space="preserve"> through a change under the rules of the scheme, the adjustment to final salary would constitute an alteration in the basis of calculating </w:t>
      </w:r>
      <w:r w:rsidRPr="00C658EE">
        <w:rPr>
          <w:rFonts w:cs="Arial"/>
          <w:b/>
          <w:bCs/>
          <w:sz w:val="24"/>
          <w:szCs w:val="24"/>
        </w:rPr>
        <w:t>long service benefit</w:t>
      </w:r>
      <w:r w:rsidR="00A025FD" w:rsidRPr="00C658EE">
        <w:rPr>
          <w:rFonts w:cs="Arial"/>
          <w:sz w:val="24"/>
          <w:szCs w:val="24"/>
        </w:rPr>
        <w:t xml:space="preserve"> as there has been a change in the obligation under the scheme with respect to the manner in which benefits are calculated</w:t>
      </w:r>
      <w:r w:rsidRPr="00C658EE">
        <w:rPr>
          <w:rFonts w:cs="Arial"/>
          <w:sz w:val="24"/>
          <w:szCs w:val="24"/>
        </w:rPr>
        <w:t xml:space="preserve"> (see questi</w:t>
      </w:r>
      <w:r w:rsidR="00A025FD" w:rsidRPr="00C658EE">
        <w:rPr>
          <w:rFonts w:cs="Arial"/>
          <w:sz w:val="24"/>
          <w:szCs w:val="24"/>
        </w:rPr>
        <w:t xml:space="preserve">on 6 above). </w:t>
      </w:r>
      <w:r w:rsidR="00A025FD" w:rsidRPr="00C658EE">
        <w:rPr>
          <w:rFonts w:cs="Arial"/>
          <w:b/>
          <w:bCs/>
          <w:sz w:val="24"/>
          <w:szCs w:val="24"/>
        </w:rPr>
        <w:t>Phasing in</w:t>
      </w:r>
      <w:r w:rsidR="00A025FD" w:rsidRPr="00C658EE">
        <w:rPr>
          <w:rFonts w:cs="Arial"/>
          <w:sz w:val="24"/>
          <w:szCs w:val="24"/>
        </w:rPr>
        <w:t xml:space="preserve"> would therefore</w:t>
      </w:r>
      <w:r w:rsidRPr="00C658EE">
        <w:rPr>
          <w:rFonts w:cs="Arial"/>
          <w:sz w:val="24"/>
          <w:szCs w:val="24"/>
        </w:rPr>
        <w:t xml:space="preserve"> be triggered.</w:t>
      </w:r>
    </w:p>
    <w:sectPr w:rsidR="00691E7B" w:rsidRPr="00C658EE" w:rsidSect="00CE0A31">
      <w:pgSz w:w="12240" w:h="15840"/>
      <w:pgMar w:top="1440" w:right="1440" w:bottom="1440" w:left="1440"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AE9ED2" w14:textId="77777777" w:rsidR="004B2046" w:rsidRDefault="004B2046" w:rsidP="00353AE0">
      <w:pPr>
        <w:spacing w:after="0" w:line="240" w:lineRule="auto"/>
      </w:pPr>
      <w:r>
        <w:separator/>
      </w:r>
    </w:p>
  </w:endnote>
  <w:endnote w:type="continuationSeparator" w:id="0">
    <w:p w14:paraId="7BFA85EE" w14:textId="77777777" w:rsidR="004B2046" w:rsidRDefault="004B2046" w:rsidP="00353A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6C990" w14:textId="77777777" w:rsidR="00A025FD" w:rsidRPr="00F06099" w:rsidRDefault="00A025FD" w:rsidP="00F06099">
    <w:pPr>
      <w:pStyle w:val="Footer"/>
      <w:jc w:val="right"/>
      <w:rPr>
        <w:sz w:val="16"/>
      </w:rPr>
    </w:pPr>
    <w:r>
      <w:rPr>
        <w:sz w:val="16"/>
      </w:rPr>
      <w:t xml:space="preserve">2238229.2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DA65E6" w14:textId="77777777" w:rsidR="00EA2D0F" w:rsidRPr="00A2492F" w:rsidRDefault="00EA2D0F" w:rsidP="00EA2D0F">
    <w:pPr>
      <w:pStyle w:val="Footer"/>
      <w:jc w:val="right"/>
      <w:rPr>
        <w:rFonts w:cs="Arial"/>
        <w:sz w:val="20"/>
        <w:szCs w:val="20"/>
      </w:rPr>
    </w:pPr>
    <w:r>
      <w:rPr>
        <w:rFonts w:cs="Arial"/>
        <w:sz w:val="20"/>
        <w:szCs w:val="20"/>
      </w:rPr>
      <w:t>Date published: June 2011</w:t>
    </w:r>
  </w:p>
  <w:p w14:paraId="58840923" w14:textId="77777777" w:rsidR="00EA2D0F" w:rsidRDefault="00EA2D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32EE69" w14:textId="77777777" w:rsidR="004B2046" w:rsidRDefault="004B2046" w:rsidP="00353AE0">
      <w:pPr>
        <w:spacing w:after="0" w:line="240" w:lineRule="auto"/>
      </w:pPr>
      <w:r>
        <w:separator/>
      </w:r>
    </w:p>
  </w:footnote>
  <w:footnote w:type="continuationSeparator" w:id="0">
    <w:p w14:paraId="35CD0F90" w14:textId="77777777" w:rsidR="004B2046" w:rsidRDefault="004B2046" w:rsidP="00353AE0">
      <w:pPr>
        <w:spacing w:after="0" w:line="240" w:lineRule="auto"/>
      </w:pPr>
      <w:r>
        <w:continuationSeparator/>
      </w:r>
    </w:p>
  </w:footnote>
  <w:footnote w:id="1">
    <w:p w14:paraId="10B361D3" w14:textId="0BE9A6B7" w:rsidR="00A025FD" w:rsidRPr="00C658EE" w:rsidRDefault="00A025FD">
      <w:pPr>
        <w:pStyle w:val="FootnoteText"/>
      </w:pPr>
      <w:r w:rsidRPr="00C658EE">
        <w:rPr>
          <w:rStyle w:val="FootnoteReference"/>
        </w:rPr>
        <w:footnoteRef/>
      </w:r>
      <w:r w:rsidR="007771AF">
        <w:t xml:space="preserve"> </w:t>
      </w:r>
      <w:r w:rsidRPr="00C658EE">
        <w:t>Section 33 of the Act.</w:t>
      </w:r>
    </w:p>
  </w:footnote>
  <w:footnote w:id="2">
    <w:p w14:paraId="4CBC9D5D" w14:textId="77777777" w:rsidR="00A025FD" w:rsidRPr="00C658EE" w:rsidRDefault="00A025FD" w:rsidP="0054352A">
      <w:pPr>
        <w:pStyle w:val="FootnoteText"/>
      </w:pPr>
      <w:r w:rsidRPr="00C658EE">
        <w:rPr>
          <w:rStyle w:val="FootnoteReference"/>
        </w:rPr>
        <w:footnoteRef/>
      </w:r>
      <w:r w:rsidRPr="00C658EE">
        <w:t xml:space="preserve"> Occupational Pension Schemes (Preservation of Benefits) (Special Calculations) Regulations 2002 (S.I. 277 of 2002).</w:t>
      </w:r>
    </w:p>
  </w:footnote>
  <w:footnote w:id="3">
    <w:p w14:paraId="7AEDDE16" w14:textId="79070FF2" w:rsidR="00A025FD" w:rsidRPr="00C658EE" w:rsidRDefault="00A025FD" w:rsidP="0054352A">
      <w:pPr>
        <w:pStyle w:val="FootnoteText"/>
      </w:pPr>
      <w:r w:rsidRPr="00C658EE">
        <w:rPr>
          <w:rStyle w:val="FootnoteReference"/>
        </w:rPr>
        <w:footnoteRef/>
      </w:r>
      <w:r w:rsidRPr="00C658EE">
        <w:t xml:space="preserve"> </w:t>
      </w:r>
      <w:r w:rsidRPr="00C658EE">
        <w:rPr>
          <w:b/>
          <w:bCs/>
        </w:rPr>
        <w:t>Phasing in</w:t>
      </w:r>
      <w:r w:rsidRPr="00C658EE">
        <w:t xml:space="preserve"> applies to the calculation of a preserved benefit </w:t>
      </w:r>
      <w:r w:rsidR="00D35358" w:rsidRPr="00C658EE">
        <w:t>‘</w:t>
      </w:r>
      <w:r w:rsidRPr="00C658EE">
        <w:t>where the basis of calculating long service benefit is altered</w:t>
      </w:r>
      <w:r w:rsidR="00D35358" w:rsidRPr="00C658EE">
        <w:t>’</w:t>
      </w:r>
      <w:r w:rsidRPr="00C658EE">
        <w:t xml:space="preserve"> between the date of commencement of the member’s </w:t>
      </w:r>
      <w:r w:rsidRPr="00C658EE">
        <w:rPr>
          <w:b/>
          <w:bCs/>
          <w:iCs/>
        </w:rPr>
        <w:t>relevant</w:t>
      </w:r>
      <w:r w:rsidRPr="00C658EE">
        <w:rPr>
          <w:i/>
        </w:rPr>
        <w:t xml:space="preserve"> </w:t>
      </w:r>
      <w:r w:rsidRPr="00C658EE">
        <w:rPr>
          <w:b/>
          <w:bCs/>
          <w:iCs/>
        </w:rPr>
        <w:t>employment</w:t>
      </w:r>
      <w:r w:rsidRPr="00C658EE">
        <w:t xml:space="preserve"> and the date of termination of the member’s </w:t>
      </w:r>
      <w:r w:rsidRPr="00C658EE">
        <w:rPr>
          <w:b/>
          <w:bCs/>
          <w:iCs/>
        </w:rPr>
        <w:t>relevant</w:t>
      </w:r>
      <w:r w:rsidRPr="00C658EE">
        <w:rPr>
          <w:i/>
        </w:rPr>
        <w:t xml:space="preserve"> </w:t>
      </w:r>
      <w:r w:rsidRPr="00C658EE">
        <w:rPr>
          <w:b/>
          <w:bCs/>
          <w:iCs/>
        </w:rPr>
        <w:t>employment</w:t>
      </w:r>
      <w:r w:rsidRPr="00C658EE">
        <w:t>. (Paragraph 2(2) of Part A of the Second Schedule of the Act).</w:t>
      </w:r>
    </w:p>
  </w:footnote>
  <w:footnote w:id="4">
    <w:p w14:paraId="1C8455D9" w14:textId="15200999" w:rsidR="00A025FD" w:rsidRPr="00C658EE" w:rsidRDefault="00A025FD" w:rsidP="007771AF">
      <w:pPr>
        <w:pStyle w:val="FootnoteText"/>
        <w:jc w:val="both"/>
      </w:pPr>
      <w:r w:rsidRPr="00C658EE">
        <w:rPr>
          <w:rStyle w:val="FootnoteReference"/>
        </w:rPr>
        <w:footnoteRef/>
      </w:r>
      <w:r w:rsidRPr="00C658EE">
        <w:t xml:space="preserve"> Other than where the reduction or improvement involves a change to normal pensionable age in which case there is a </w:t>
      </w:r>
      <w:r w:rsidR="007771AF" w:rsidRPr="00C658EE">
        <w:t>10-year</w:t>
      </w:r>
      <w:r w:rsidRPr="00C658EE">
        <w:t xml:space="preserve"> cap. (Article 8 of Occupational Pension Schemes (Preservation of Benefits) Regulations 2002 (S.I. 279 of 2002)).</w:t>
      </w:r>
    </w:p>
  </w:footnote>
  <w:footnote w:id="5">
    <w:p w14:paraId="1BDE279F" w14:textId="77777777" w:rsidR="00A025FD" w:rsidRPr="00C658EE" w:rsidRDefault="00A025FD">
      <w:pPr>
        <w:pStyle w:val="FootnoteText"/>
      </w:pPr>
      <w:r w:rsidRPr="00C658EE">
        <w:rPr>
          <w:rStyle w:val="FootnoteReference"/>
        </w:rPr>
        <w:footnoteRef/>
      </w:r>
      <w:r w:rsidRPr="00C658EE">
        <w:t xml:space="preserve"> Section 50(2) of the Act</w:t>
      </w:r>
      <w:r w:rsidR="00A451AD" w:rsidRPr="00C658EE">
        <w:t>.</w:t>
      </w:r>
    </w:p>
  </w:footnote>
  <w:footnote w:id="6">
    <w:p w14:paraId="34A2C4AC" w14:textId="77777777" w:rsidR="00A025FD" w:rsidRPr="00C658EE" w:rsidRDefault="00A025FD">
      <w:pPr>
        <w:pStyle w:val="FootnoteText"/>
      </w:pPr>
      <w:r w:rsidRPr="00C658EE">
        <w:rPr>
          <w:rStyle w:val="FootnoteReference"/>
        </w:rPr>
        <w:footnoteRef/>
      </w:r>
      <w:r w:rsidRPr="00C658EE">
        <w:t xml:space="preserve"> Section 2 of the Act</w:t>
      </w:r>
    </w:p>
  </w:footnote>
  <w:footnote w:id="7">
    <w:p w14:paraId="635FC004" w14:textId="77777777" w:rsidR="00A025FD" w:rsidRPr="00C658EE" w:rsidRDefault="00A025FD">
      <w:pPr>
        <w:pStyle w:val="FootnoteText"/>
      </w:pPr>
      <w:r w:rsidRPr="00C658EE">
        <w:rPr>
          <w:rStyle w:val="FootnoteReference"/>
        </w:rPr>
        <w:footnoteRef/>
      </w:r>
      <w:r w:rsidRPr="00C658EE">
        <w:t xml:space="preserve"> Section 2 of the Act</w:t>
      </w:r>
    </w:p>
  </w:footnote>
  <w:footnote w:id="8">
    <w:p w14:paraId="6B5648DF" w14:textId="77777777" w:rsidR="00A025FD" w:rsidRPr="00C658EE" w:rsidRDefault="00A025FD">
      <w:pPr>
        <w:pStyle w:val="FootnoteText"/>
      </w:pPr>
      <w:r w:rsidRPr="00C658EE">
        <w:rPr>
          <w:rStyle w:val="FootnoteReference"/>
        </w:rPr>
        <w:footnoteRef/>
      </w:r>
      <w:r w:rsidRPr="00C658EE">
        <w:t xml:space="preserve"> Section 2 of the Act</w:t>
      </w:r>
    </w:p>
  </w:footnote>
  <w:footnote w:id="9">
    <w:p w14:paraId="683670AC" w14:textId="77777777" w:rsidR="00A025FD" w:rsidRPr="00C658EE" w:rsidRDefault="00A025FD" w:rsidP="00852D34">
      <w:pPr>
        <w:pStyle w:val="FootnoteText"/>
      </w:pPr>
      <w:r w:rsidRPr="00C658EE">
        <w:rPr>
          <w:rStyle w:val="FootnoteReference"/>
        </w:rPr>
        <w:footnoteRef/>
      </w:r>
      <w:r w:rsidRPr="00C658EE">
        <w:t xml:space="preserve"> Paragraph 2(2) of Part A of the Second Schedule of the Act</w:t>
      </w:r>
    </w:p>
    <w:p w14:paraId="0B8D526D" w14:textId="77777777" w:rsidR="00A025FD" w:rsidRPr="00C658EE" w:rsidRDefault="00A025FD" w:rsidP="00852D34">
      <w:pPr>
        <w:pStyle w:val="FootnoteText"/>
      </w:pPr>
    </w:p>
  </w:footnote>
  <w:footnote w:id="10">
    <w:p w14:paraId="479FCE34" w14:textId="62BDA87A" w:rsidR="00A025FD" w:rsidRPr="00C658EE" w:rsidRDefault="00A025FD" w:rsidP="0054352A">
      <w:pPr>
        <w:pStyle w:val="FootnoteText"/>
      </w:pPr>
      <w:r w:rsidRPr="00C658EE">
        <w:rPr>
          <w:rStyle w:val="FootnoteReference"/>
        </w:rPr>
        <w:footnoteRef/>
      </w:r>
      <w:r w:rsidRPr="00C658EE">
        <w:t xml:space="preserve"> The term </w:t>
      </w:r>
      <w:r w:rsidR="00D35358" w:rsidRPr="00C658EE">
        <w:t>‘</w:t>
      </w:r>
      <w:r w:rsidRPr="00C658EE">
        <w:t>freezing</w:t>
      </w:r>
      <w:r w:rsidR="00D35358" w:rsidRPr="00C658EE">
        <w:t>’</w:t>
      </w:r>
      <w:r w:rsidRPr="00C658EE">
        <w:t xml:space="preserve"> used throughout these FAQs is intended to refer to a scenario where the yearly accrual of fractional entitlements (e.g.</w:t>
      </w:r>
      <w:r w:rsidR="00D35358" w:rsidRPr="00C658EE">
        <w:t>,</w:t>
      </w:r>
      <w:r w:rsidRPr="00C658EE">
        <w:t xml:space="preserve"> 1/60ths) will be halted and members’ final pensionable salaries will be fixed at their existing levels.</w:t>
      </w:r>
    </w:p>
  </w:footnote>
  <w:footnote w:id="11">
    <w:p w14:paraId="58B679FB" w14:textId="37559D0D" w:rsidR="00A025FD" w:rsidRPr="00C658EE" w:rsidRDefault="00A025FD" w:rsidP="0054352A">
      <w:pPr>
        <w:pStyle w:val="FootnoteText"/>
      </w:pPr>
      <w:r w:rsidRPr="00C658EE">
        <w:rPr>
          <w:rStyle w:val="FootnoteReference"/>
        </w:rPr>
        <w:footnoteRef/>
      </w:r>
      <w:r w:rsidRPr="00C658EE">
        <w:t xml:space="preserve"> If a member is provided with access to a PRSA a termination of </w:t>
      </w:r>
      <w:r w:rsidRPr="00C658EE">
        <w:rPr>
          <w:b/>
          <w:bCs/>
          <w:iCs/>
        </w:rPr>
        <w:t>relevant employment</w:t>
      </w:r>
      <w:r w:rsidRPr="00C658EE">
        <w:t xml:space="preserve"> will </w:t>
      </w:r>
      <w:r w:rsidR="007771AF" w:rsidRPr="00C658EE">
        <w:t>occur,</w:t>
      </w:r>
      <w:r w:rsidRPr="00C658EE">
        <w:t xml:space="preserve"> and statutory revaluation may be relevant.</w:t>
      </w:r>
    </w:p>
  </w:footnote>
  <w:footnote w:id="12">
    <w:p w14:paraId="6B726AE5" w14:textId="7A2DD204" w:rsidR="00A025FD" w:rsidRPr="00C658EE" w:rsidRDefault="00A025FD" w:rsidP="00C658EE">
      <w:pPr>
        <w:pStyle w:val="FootnoteText"/>
        <w:jc w:val="both"/>
      </w:pPr>
      <w:r w:rsidRPr="00C658EE">
        <w:rPr>
          <w:rStyle w:val="FootnoteReference"/>
        </w:rPr>
        <w:footnoteRef/>
      </w:r>
      <w:r w:rsidRPr="00C658EE">
        <w:t xml:space="preserve"> S.I.</w:t>
      </w:r>
      <w:r w:rsidR="007771AF">
        <w:t xml:space="preserve"> no. </w:t>
      </w:r>
      <w:r w:rsidRPr="00C658EE">
        <w:t>277 of 2002</w:t>
      </w:r>
      <w:r w:rsidR="007771AF">
        <w:t>.</w:t>
      </w:r>
    </w:p>
  </w:footnote>
  <w:footnote w:id="13">
    <w:p w14:paraId="1F7BD5CB" w14:textId="77777777" w:rsidR="00A025FD" w:rsidRPr="00C658EE" w:rsidRDefault="00A025FD" w:rsidP="0054352A">
      <w:pPr>
        <w:pStyle w:val="FootnoteText"/>
      </w:pPr>
      <w:r w:rsidRPr="00C658EE">
        <w:rPr>
          <w:rStyle w:val="FootnoteReference"/>
        </w:rPr>
        <w:footnoteRef/>
      </w:r>
      <w:r w:rsidRPr="00C658EE">
        <w:t xml:space="preserve"> By freezing accrual but maintaining the final salary link, members would cease to acquire future yearly fractional entitlements (e.g.</w:t>
      </w:r>
      <w:r w:rsidR="00A451AD" w:rsidRPr="00C658EE">
        <w:t>,</w:t>
      </w:r>
      <w:r w:rsidRPr="00C658EE">
        <w:t xml:space="preserve">1/60ths) but will receive a pension (or deferred entitlement) based on their actual final pensionable salary on leaving service. </w:t>
      </w:r>
    </w:p>
  </w:footnote>
  <w:footnote w:id="14">
    <w:p w14:paraId="6CC5974C" w14:textId="77777777" w:rsidR="00A025FD" w:rsidRPr="00C658EE" w:rsidRDefault="00A025FD" w:rsidP="0054352A">
      <w:pPr>
        <w:pStyle w:val="FootnoteText"/>
      </w:pPr>
      <w:r w:rsidRPr="00C658EE">
        <w:rPr>
          <w:rStyle w:val="FootnoteReference"/>
        </w:rPr>
        <w:footnoteRef/>
      </w:r>
      <w:r w:rsidRPr="00C658EE">
        <w:t xml:space="preserve"> In some cases, schemes may not maintain the link to final salary but may allow for some form of salary growth to be pensionable e.g.</w:t>
      </w:r>
      <w:r w:rsidR="00A451AD" w:rsidRPr="00C658EE">
        <w:t>,</w:t>
      </w:r>
      <w:r w:rsidRPr="00C658EE">
        <w:t xml:space="preserve"> a scheme may allow for CPI increases on salary to be recognised.</w:t>
      </w:r>
    </w:p>
  </w:footnote>
  <w:footnote w:id="15">
    <w:p w14:paraId="734A348B" w14:textId="77777777" w:rsidR="00A025FD" w:rsidRPr="00C658EE" w:rsidRDefault="00A025FD" w:rsidP="0054352A">
      <w:pPr>
        <w:pStyle w:val="FootnoteText"/>
      </w:pPr>
      <w:r w:rsidRPr="00C658EE">
        <w:rPr>
          <w:rStyle w:val="FootnoteReference"/>
        </w:rPr>
        <w:footnoteRef/>
      </w:r>
      <w:r w:rsidRPr="00C658EE">
        <w:t xml:space="preserve"> Many schemes are seeking to reduce deficits by continuing accrual but freezing salary or in some other way limiting salary increases (e.g.</w:t>
      </w:r>
      <w:r w:rsidR="00501885" w:rsidRPr="00C658EE">
        <w:t>,</w:t>
      </w:r>
      <w:r w:rsidRPr="00C658EE">
        <w:t xml:space="preserve"> introducing career averaging, salary caps etc).</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382C0D" w14:textId="2664A209" w:rsidR="007771AF" w:rsidRDefault="00064751" w:rsidP="007771AF">
    <w:pPr>
      <w:pStyle w:val="Header"/>
      <w:jc w:val="center"/>
      <w:rPr>
        <w:noProof/>
        <w:lang w:val="en-GB" w:eastAsia="en-GB"/>
      </w:rPr>
    </w:pPr>
    <w:r>
      <w:rPr>
        <w:noProof/>
        <w:lang w:val="en-GB" w:eastAsia="en-GB"/>
      </w:rPr>
      <w:pict w14:anchorId="18A8E58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7.5pt;height:43pt;visibility:visible;mso-wrap-style:square">
          <v:imagedata r:id="rId1" o:title=""/>
        </v:shape>
      </w:pict>
    </w:r>
  </w:p>
  <w:p w14:paraId="7DA90D08" w14:textId="77777777" w:rsidR="007771AF" w:rsidRDefault="007771AF" w:rsidP="007771AF">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29FF98" w14:textId="3AC3DA88" w:rsidR="00717DE7" w:rsidRDefault="00064751" w:rsidP="00C658EE">
    <w:pPr>
      <w:pStyle w:val="Header"/>
      <w:jc w:val="center"/>
      <w:rPr>
        <w:noProof/>
        <w:lang w:val="en-GB" w:eastAsia="en-GB"/>
      </w:rPr>
    </w:pPr>
    <w:r>
      <w:rPr>
        <w:noProof/>
        <w:lang w:val="en-GB" w:eastAsia="en-GB"/>
      </w:rPr>
      <w:pict w14:anchorId="563A5CA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5" o:spid="_x0000_i1026" type="#_x0000_t75" style="width:127.5pt;height:43pt;visibility:visible;mso-wrap-style:square">
          <v:imagedata r:id="rId1" o:title=""/>
        </v:shape>
      </w:pict>
    </w:r>
  </w:p>
  <w:p w14:paraId="06A375B7" w14:textId="77777777" w:rsidR="00C658EE" w:rsidRDefault="00C658EE" w:rsidP="00C658EE">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31EBBA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278796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52E17C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3B4B14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E48BC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27A736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4DE232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956CD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E18A14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D86B52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833245"/>
    <w:multiLevelType w:val="hybridMultilevel"/>
    <w:tmpl w:val="56F68308"/>
    <w:lvl w:ilvl="0" w:tplc="17EE6794">
      <w:start w:val="1"/>
      <w:numFmt w:val="lowerLetter"/>
      <w:lvlText w:val="(%1)"/>
      <w:lvlJc w:val="left"/>
      <w:pPr>
        <w:ind w:left="720" w:hanging="360"/>
      </w:pPr>
      <w:rPr>
        <w:rFonts w:ascii="Arial" w:hAnsi="Arial" w:hint="default"/>
        <w:b w:val="0"/>
        <w:i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1B82FDF"/>
    <w:multiLevelType w:val="hybridMultilevel"/>
    <w:tmpl w:val="5476A2FE"/>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15:restartNumberingAfterBreak="0">
    <w:nsid w:val="042C3B11"/>
    <w:multiLevelType w:val="hybridMultilevel"/>
    <w:tmpl w:val="DB04E494"/>
    <w:lvl w:ilvl="0" w:tplc="BB5091E6">
      <w:start w:val="1"/>
      <w:numFmt w:val="decimal"/>
      <w:lvlText w:val="%1."/>
      <w:lvlJc w:val="left"/>
      <w:pPr>
        <w:ind w:left="720" w:hanging="360"/>
      </w:pPr>
      <w:rPr>
        <w:rFonts w:cs="Times New Roman"/>
        <w:i w:val="0"/>
        <w:iCs/>
        <w:sz w:val="28"/>
        <w:szCs w:val="28"/>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15:restartNumberingAfterBreak="0">
    <w:nsid w:val="0E0C2219"/>
    <w:multiLevelType w:val="hybridMultilevel"/>
    <w:tmpl w:val="08B8F716"/>
    <w:lvl w:ilvl="0" w:tplc="0809000F">
      <w:start w:val="1"/>
      <w:numFmt w:val="decimal"/>
      <w:lvlText w:val="%1."/>
      <w:lvlJc w:val="left"/>
      <w:pPr>
        <w:ind w:left="720" w:hanging="360"/>
      </w:pPr>
      <w:rPr>
        <w:rFonts w:hint="default"/>
        <w:b w:val="0"/>
        <w:i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0FC770ED"/>
    <w:multiLevelType w:val="hybridMultilevel"/>
    <w:tmpl w:val="73E20B86"/>
    <w:lvl w:ilvl="0" w:tplc="3034B174">
      <w:start w:val="1"/>
      <w:numFmt w:val="decimal"/>
      <w:lvlText w:val="%1."/>
      <w:lvlJc w:val="left"/>
      <w:pPr>
        <w:ind w:left="644" w:hanging="360"/>
      </w:pPr>
      <w:rPr>
        <w:rFonts w:hint="default"/>
        <w:b/>
        <w:bCs/>
        <w:i w:val="0"/>
        <w:sz w:val="28"/>
        <w:szCs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5650A9F"/>
    <w:multiLevelType w:val="hybridMultilevel"/>
    <w:tmpl w:val="F038363A"/>
    <w:lvl w:ilvl="0" w:tplc="C290C30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1C4D7254"/>
    <w:multiLevelType w:val="hybridMultilevel"/>
    <w:tmpl w:val="A8CE6752"/>
    <w:lvl w:ilvl="0" w:tplc="33CA18FA">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0D96062"/>
    <w:multiLevelType w:val="hybridMultilevel"/>
    <w:tmpl w:val="9094FD54"/>
    <w:lvl w:ilvl="0" w:tplc="19CAE088">
      <w:start w:val="1"/>
      <w:numFmt w:val="decimal"/>
      <w:lvlText w:val="%1."/>
      <w:lvlJc w:val="left"/>
      <w:pPr>
        <w:ind w:left="720" w:hanging="360"/>
      </w:pPr>
      <w:rPr>
        <w:sz w:val="28"/>
        <w:szCs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ECF6D09"/>
    <w:multiLevelType w:val="hybridMultilevel"/>
    <w:tmpl w:val="9C723CE2"/>
    <w:lvl w:ilvl="0" w:tplc="04090017">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 w15:restartNumberingAfterBreak="0">
    <w:nsid w:val="3ACB3A4F"/>
    <w:multiLevelType w:val="hybridMultilevel"/>
    <w:tmpl w:val="5476A2FE"/>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 w15:restartNumberingAfterBreak="0">
    <w:nsid w:val="3E3372F5"/>
    <w:multiLevelType w:val="hybridMultilevel"/>
    <w:tmpl w:val="E2A454D6"/>
    <w:lvl w:ilvl="0" w:tplc="19CAE088">
      <w:start w:val="1"/>
      <w:numFmt w:val="decimal"/>
      <w:lvlText w:val="%1."/>
      <w:lvlJc w:val="left"/>
      <w:pPr>
        <w:ind w:left="720" w:hanging="360"/>
      </w:pPr>
      <w:rPr>
        <w:sz w:val="28"/>
        <w:szCs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25E5F02"/>
    <w:multiLevelType w:val="hybridMultilevel"/>
    <w:tmpl w:val="5AAE18AE"/>
    <w:lvl w:ilvl="0" w:tplc="17EE6794">
      <w:start w:val="1"/>
      <w:numFmt w:val="lowerLetter"/>
      <w:lvlText w:val="(%1)"/>
      <w:lvlJc w:val="left"/>
      <w:pPr>
        <w:ind w:left="720" w:hanging="360"/>
      </w:pPr>
      <w:rPr>
        <w:rFonts w:ascii="Arial" w:hAnsi="Arial" w:hint="default"/>
        <w:b w:val="0"/>
        <w:i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7E77448"/>
    <w:multiLevelType w:val="hybridMultilevel"/>
    <w:tmpl w:val="3B605B56"/>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3" w15:restartNumberingAfterBreak="0">
    <w:nsid w:val="58C670BB"/>
    <w:multiLevelType w:val="hybridMultilevel"/>
    <w:tmpl w:val="F51CC69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A750D77"/>
    <w:multiLevelType w:val="multilevel"/>
    <w:tmpl w:val="6578110C"/>
    <w:lvl w:ilvl="0">
      <w:start w:val="1"/>
      <w:numFmt w:val="decimal"/>
      <w:lvlText w:val="%1."/>
      <w:lvlJc w:val="left"/>
      <w:pPr>
        <w:ind w:left="720" w:hanging="360"/>
      </w:pPr>
      <w:rPr>
        <w:i w:val="0"/>
        <w:i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5AF06BA4"/>
    <w:multiLevelType w:val="multilevel"/>
    <w:tmpl w:val="826CF8A6"/>
    <w:lvl w:ilvl="0">
      <w:start w:val="1"/>
      <w:numFmt w:val="decimal"/>
      <w:lvlText w:val="%1."/>
      <w:lvlJc w:val="left"/>
      <w:pPr>
        <w:ind w:left="720" w:hanging="360"/>
      </w:pPr>
      <w:rPr>
        <w:i w:val="0"/>
        <w:iCs/>
        <w:sz w:val="24"/>
        <w:szCs w:val="24"/>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7809426C"/>
    <w:multiLevelType w:val="hybridMultilevel"/>
    <w:tmpl w:val="AD9817AE"/>
    <w:lvl w:ilvl="0" w:tplc="04090017">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16cid:durableId="1642806675">
    <w:abstractNumId w:val="18"/>
  </w:num>
  <w:num w:numId="2" w16cid:durableId="62264970">
    <w:abstractNumId w:val="19"/>
  </w:num>
  <w:num w:numId="3" w16cid:durableId="585378779">
    <w:abstractNumId w:val="26"/>
  </w:num>
  <w:num w:numId="4" w16cid:durableId="1574315296">
    <w:abstractNumId w:val="11"/>
  </w:num>
  <w:num w:numId="5" w16cid:durableId="46076801">
    <w:abstractNumId w:val="12"/>
  </w:num>
  <w:num w:numId="6" w16cid:durableId="1837072198">
    <w:abstractNumId w:val="22"/>
  </w:num>
  <w:num w:numId="7" w16cid:durableId="1529561592">
    <w:abstractNumId w:val="23"/>
  </w:num>
  <w:num w:numId="8" w16cid:durableId="164901647">
    <w:abstractNumId w:val="21"/>
  </w:num>
  <w:num w:numId="9" w16cid:durableId="410585107">
    <w:abstractNumId w:val="10"/>
  </w:num>
  <w:num w:numId="10" w16cid:durableId="257910870">
    <w:abstractNumId w:val="13"/>
  </w:num>
  <w:num w:numId="11" w16cid:durableId="171115302">
    <w:abstractNumId w:val="14"/>
  </w:num>
  <w:num w:numId="12" w16cid:durableId="251202266">
    <w:abstractNumId w:val="16"/>
  </w:num>
  <w:num w:numId="13" w16cid:durableId="323247773">
    <w:abstractNumId w:val="20"/>
  </w:num>
  <w:num w:numId="14" w16cid:durableId="366149839">
    <w:abstractNumId w:val="17"/>
  </w:num>
  <w:num w:numId="15" w16cid:durableId="135491509">
    <w:abstractNumId w:val="9"/>
  </w:num>
  <w:num w:numId="16" w16cid:durableId="104661832">
    <w:abstractNumId w:val="7"/>
  </w:num>
  <w:num w:numId="17" w16cid:durableId="20983670">
    <w:abstractNumId w:val="6"/>
  </w:num>
  <w:num w:numId="18" w16cid:durableId="1342851465">
    <w:abstractNumId w:val="5"/>
  </w:num>
  <w:num w:numId="19" w16cid:durableId="1484617580">
    <w:abstractNumId w:val="4"/>
  </w:num>
  <w:num w:numId="20" w16cid:durableId="44573747">
    <w:abstractNumId w:val="8"/>
  </w:num>
  <w:num w:numId="21" w16cid:durableId="881358654">
    <w:abstractNumId w:val="3"/>
  </w:num>
  <w:num w:numId="22" w16cid:durableId="2003265965">
    <w:abstractNumId w:val="2"/>
  </w:num>
  <w:num w:numId="23" w16cid:durableId="620722384">
    <w:abstractNumId w:val="1"/>
  </w:num>
  <w:num w:numId="24" w16cid:durableId="360519080">
    <w:abstractNumId w:val="0"/>
  </w:num>
  <w:num w:numId="25" w16cid:durableId="1361396783">
    <w:abstractNumId w:val="15"/>
  </w:num>
  <w:num w:numId="26" w16cid:durableId="1560703235">
    <w:abstractNumId w:val="24"/>
  </w:num>
  <w:num w:numId="27" w16cid:durableId="142738183">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Moves/>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724CC"/>
    <w:rsid w:val="00052B4C"/>
    <w:rsid w:val="000547CD"/>
    <w:rsid w:val="00064751"/>
    <w:rsid w:val="000A2AD4"/>
    <w:rsid w:val="000A5634"/>
    <w:rsid w:val="000E455B"/>
    <w:rsid w:val="001275C5"/>
    <w:rsid w:val="00191487"/>
    <w:rsid w:val="00196C8D"/>
    <w:rsid w:val="001A0C62"/>
    <w:rsid w:val="001A5A58"/>
    <w:rsid w:val="001C20AB"/>
    <w:rsid w:val="001E2097"/>
    <w:rsid w:val="00203CF2"/>
    <w:rsid w:val="002148FF"/>
    <w:rsid w:val="00224362"/>
    <w:rsid w:val="0022793F"/>
    <w:rsid w:val="002B1367"/>
    <w:rsid w:val="002D2BEB"/>
    <w:rsid w:val="002E3A07"/>
    <w:rsid w:val="002F1CBC"/>
    <w:rsid w:val="00306FBD"/>
    <w:rsid w:val="00306FD5"/>
    <w:rsid w:val="0032382E"/>
    <w:rsid w:val="00353AE0"/>
    <w:rsid w:val="00383598"/>
    <w:rsid w:val="003D73B1"/>
    <w:rsid w:val="003E66DF"/>
    <w:rsid w:val="00457F55"/>
    <w:rsid w:val="004654C2"/>
    <w:rsid w:val="004A4C21"/>
    <w:rsid w:val="004B2046"/>
    <w:rsid w:val="004C48D2"/>
    <w:rsid w:val="004E06D8"/>
    <w:rsid w:val="004F4E56"/>
    <w:rsid w:val="00501885"/>
    <w:rsid w:val="00517FC9"/>
    <w:rsid w:val="00521507"/>
    <w:rsid w:val="0054352A"/>
    <w:rsid w:val="00563B0C"/>
    <w:rsid w:val="00565F58"/>
    <w:rsid w:val="00583FBE"/>
    <w:rsid w:val="00584B5A"/>
    <w:rsid w:val="00594CEE"/>
    <w:rsid w:val="005C3CB7"/>
    <w:rsid w:val="005C7945"/>
    <w:rsid w:val="005C7A9B"/>
    <w:rsid w:val="005C7C42"/>
    <w:rsid w:val="00600788"/>
    <w:rsid w:val="00602C36"/>
    <w:rsid w:val="006213B8"/>
    <w:rsid w:val="00640F2C"/>
    <w:rsid w:val="00676006"/>
    <w:rsid w:val="00691E7B"/>
    <w:rsid w:val="006C0CA2"/>
    <w:rsid w:val="006E2296"/>
    <w:rsid w:val="00703F4F"/>
    <w:rsid w:val="00717DE7"/>
    <w:rsid w:val="00760CE0"/>
    <w:rsid w:val="00764B25"/>
    <w:rsid w:val="00774BBC"/>
    <w:rsid w:val="007771AF"/>
    <w:rsid w:val="00781619"/>
    <w:rsid w:val="007A534E"/>
    <w:rsid w:val="007E15DD"/>
    <w:rsid w:val="007E3B32"/>
    <w:rsid w:val="00821A7F"/>
    <w:rsid w:val="00837E08"/>
    <w:rsid w:val="00851DB9"/>
    <w:rsid w:val="00852D34"/>
    <w:rsid w:val="00874B7D"/>
    <w:rsid w:val="008B57AF"/>
    <w:rsid w:val="008C671C"/>
    <w:rsid w:val="00900AD0"/>
    <w:rsid w:val="00943F2F"/>
    <w:rsid w:val="00944E73"/>
    <w:rsid w:val="0095440B"/>
    <w:rsid w:val="009E6DD7"/>
    <w:rsid w:val="00A025FD"/>
    <w:rsid w:val="00A06CEF"/>
    <w:rsid w:val="00A451AD"/>
    <w:rsid w:val="00A77C77"/>
    <w:rsid w:val="00A77C9B"/>
    <w:rsid w:val="00A95A0F"/>
    <w:rsid w:val="00AC5AD1"/>
    <w:rsid w:val="00AC68D4"/>
    <w:rsid w:val="00AC7192"/>
    <w:rsid w:val="00AE3F5E"/>
    <w:rsid w:val="00AE5839"/>
    <w:rsid w:val="00B7228D"/>
    <w:rsid w:val="00B84DDD"/>
    <w:rsid w:val="00B8510A"/>
    <w:rsid w:val="00BC496D"/>
    <w:rsid w:val="00BC6644"/>
    <w:rsid w:val="00BD7196"/>
    <w:rsid w:val="00BE478D"/>
    <w:rsid w:val="00C03D66"/>
    <w:rsid w:val="00C101AA"/>
    <w:rsid w:val="00C16AA4"/>
    <w:rsid w:val="00C613A1"/>
    <w:rsid w:val="00C658EE"/>
    <w:rsid w:val="00CA1B86"/>
    <w:rsid w:val="00CB498D"/>
    <w:rsid w:val="00CD58B7"/>
    <w:rsid w:val="00CE0A31"/>
    <w:rsid w:val="00CF1808"/>
    <w:rsid w:val="00D1268B"/>
    <w:rsid w:val="00D221EC"/>
    <w:rsid w:val="00D35358"/>
    <w:rsid w:val="00D35B77"/>
    <w:rsid w:val="00D8491A"/>
    <w:rsid w:val="00D94482"/>
    <w:rsid w:val="00DA73B2"/>
    <w:rsid w:val="00DC7963"/>
    <w:rsid w:val="00E04B64"/>
    <w:rsid w:val="00E13D3A"/>
    <w:rsid w:val="00E20E4E"/>
    <w:rsid w:val="00E41242"/>
    <w:rsid w:val="00E47AD0"/>
    <w:rsid w:val="00E51654"/>
    <w:rsid w:val="00E724CC"/>
    <w:rsid w:val="00EA2D0F"/>
    <w:rsid w:val="00EB09F9"/>
    <w:rsid w:val="00EB2A8A"/>
    <w:rsid w:val="00EB6466"/>
    <w:rsid w:val="00ED1A1E"/>
    <w:rsid w:val="00F0407D"/>
    <w:rsid w:val="00F06099"/>
    <w:rsid w:val="00F259BE"/>
    <w:rsid w:val="00F52958"/>
    <w:rsid w:val="00F656AF"/>
    <w:rsid w:val="00F827AF"/>
    <w:rsid w:val="00F96C93"/>
    <w:rsid w:val="00FB6B42"/>
    <w:rsid w:val="00FB7471"/>
    <w:rsid w:val="00FF364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DA3101F"/>
  <w15:chartTrackingRefBased/>
  <w15:docId w15:val="{722E27A5-FE3D-4EF5-AFC1-06552B4F57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lang w:val="en-IE" w:eastAsia="en-IE"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uiPriority="39"/>
    <w:lsdException w:name="toc 2" w:locked="1" w:uiPriority="39"/>
    <w:lsdException w:name="toc 3" w:locked="1" w:uiPriority="39"/>
    <w:lsdException w:name="toc 4" w:locked="1"/>
    <w:lsdException w:name="toc 5" w:locked="1"/>
    <w:lsdException w:name="toc 6" w:locked="1"/>
    <w:lsdException w:name="toc 7" w:locked="1"/>
    <w:lsdException w:name="toc 8" w:locked="1"/>
    <w:lsdException w:name="toc 9" w:locked="1"/>
    <w:lsdException w:name="header" w:uiPriority="99"/>
    <w:lsdException w:name="footer" w:uiPriority="99"/>
    <w:lsdException w:name="caption" w:locked="1" w:semiHidden="1" w:unhideWhenUsed="1" w:qFormat="1"/>
    <w:lsdException w:name="Title" w:locked="1" w:qFormat="1"/>
    <w:lsdException w:name="Default Paragraph Font" w:locked="1"/>
    <w:lsdException w:name="Subtitle" w:locked="1" w:qFormat="1"/>
    <w:lsdException w:name="Hyperlink" w:uiPriority="99"/>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658EE"/>
    <w:pPr>
      <w:spacing w:after="200" w:line="276" w:lineRule="auto"/>
    </w:pPr>
    <w:rPr>
      <w:rFonts w:eastAsia="Times New Roman"/>
      <w:sz w:val="22"/>
      <w:szCs w:val="22"/>
      <w:lang w:eastAsia="en-US"/>
    </w:rPr>
  </w:style>
  <w:style w:type="paragraph" w:styleId="Heading1">
    <w:name w:val="heading 1"/>
    <w:basedOn w:val="Normal"/>
    <w:next w:val="Normal"/>
    <w:link w:val="Heading1Char"/>
    <w:autoRedefine/>
    <w:qFormat/>
    <w:locked/>
    <w:rsid w:val="0054352A"/>
    <w:pPr>
      <w:keepNext/>
      <w:spacing w:after="0"/>
      <w:outlineLvl w:val="0"/>
    </w:pPr>
    <w:rPr>
      <w:b/>
      <w:bCs/>
      <w:kern w:val="32"/>
      <w:sz w:val="32"/>
      <w:szCs w:val="32"/>
    </w:rPr>
  </w:style>
  <w:style w:type="paragraph" w:styleId="Heading2">
    <w:name w:val="heading 2"/>
    <w:basedOn w:val="Normal"/>
    <w:next w:val="Normal"/>
    <w:link w:val="Heading2Char"/>
    <w:unhideWhenUsed/>
    <w:qFormat/>
    <w:locked/>
    <w:rsid w:val="00C658EE"/>
    <w:pPr>
      <w:keepNext/>
      <w:spacing w:after="0"/>
      <w:outlineLvl w:val="1"/>
    </w:pPr>
    <w:rPr>
      <w:b/>
      <w:bCs/>
      <w:iCs/>
      <w:sz w:val="28"/>
      <w:szCs w:val="28"/>
    </w:rPr>
  </w:style>
  <w:style w:type="paragraph" w:styleId="Heading3">
    <w:name w:val="heading 3"/>
    <w:basedOn w:val="Normal"/>
    <w:next w:val="Normal"/>
    <w:link w:val="Heading3Char"/>
    <w:unhideWhenUsed/>
    <w:qFormat/>
    <w:locked/>
    <w:rsid w:val="00C658EE"/>
    <w:pPr>
      <w:keepNext/>
      <w:spacing w:after="0"/>
      <w:outlineLvl w:val="2"/>
    </w:pPr>
    <w:rPr>
      <w:b/>
      <w:bCs/>
      <w:sz w:val="24"/>
      <w:szCs w:val="26"/>
    </w:rPr>
  </w:style>
  <w:style w:type="paragraph" w:styleId="Heading4">
    <w:name w:val="heading 4"/>
    <w:basedOn w:val="Normal"/>
    <w:next w:val="Normal"/>
    <w:link w:val="Heading4Char"/>
    <w:unhideWhenUsed/>
    <w:qFormat/>
    <w:locked/>
    <w:rsid w:val="0054352A"/>
    <w:pPr>
      <w:keepNext/>
      <w:spacing w:before="240" w:after="60"/>
      <w:outlineLvl w:val="3"/>
    </w:pPr>
    <w:rPr>
      <w:b/>
      <w:bCs/>
      <w:sz w:val="24"/>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4F4E56"/>
    <w:pPr>
      <w:ind w:left="720"/>
      <w:contextualSpacing/>
    </w:pPr>
  </w:style>
  <w:style w:type="paragraph" w:styleId="Header">
    <w:name w:val="header"/>
    <w:basedOn w:val="Normal"/>
    <w:link w:val="HeaderChar"/>
    <w:uiPriority w:val="99"/>
    <w:rsid w:val="00353AE0"/>
    <w:pPr>
      <w:tabs>
        <w:tab w:val="center" w:pos="4680"/>
        <w:tab w:val="right" w:pos="9360"/>
      </w:tabs>
      <w:spacing w:after="0" w:line="240" w:lineRule="auto"/>
    </w:pPr>
  </w:style>
  <w:style w:type="character" w:customStyle="1" w:styleId="HeaderChar">
    <w:name w:val="Header Char"/>
    <w:link w:val="Header"/>
    <w:uiPriority w:val="99"/>
    <w:locked/>
    <w:rsid w:val="00353AE0"/>
    <w:rPr>
      <w:rFonts w:cs="Times New Roman"/>
    </w:rPr>
  </w:style>
  <w:style w:type="paragraph" w:styleId="Footer">
    <w:name w:val="footer"/>
    <w:basedOn w:val="Normal"/>
    <w:link w:val="FooterChar"/>
    <w:uiPriority w:val="99"/>
    <w:rsid w:val="00353AE0"/>
    <w:pPr>
      <w:tabs>
        <w:tab w:val="center" w:pos="4680"/>
        <w:tab w:val="right" w:pos="9360"/>
      </w:tabs>
      <w:spacing w:after="0" w:line="240" w:lineRule="auto"/>
    </w:pPr>
  </w:style>
  <w:style w:type="character" w:customStyle="1" w:styleId="FooterChar">
    <w:name w:val="Footer Char"/>
    <w:link w:val="Footer"/>
    <w:uiPriority w:val="99"/>
    <w:locked/>
    <w:rsid w:val="00353AE0"/>
    <w:rPr>
      <w:rFonts w:cs="Times New Roman"/>
    </w:rPr>
  </w:style>
  <w:style w:type="paragraph" w:styleId="FootnoteText">
    <w:name w:val="footnote text"/>
    <w:basedOn w:val="Normal"/>
    <w:link w:val="FootnoteTextChar"/>
    <w:semiHidden/>
    <w:rsid w:val="00C16AA4"/>
    <w:pPr>
      <w:spacing w:after="0" w:line="240" w:lineRule="auto"/>
    </w:pPr>
    <w:rPr>
      <w:sz w:val="20"/>
      <w:szCs w:val="20"/>
    </w:rPr>
  </w:style>
  <w:style w:type="character" w:customStyle="1" w:styleId="FootnoteTextChar">
    <w:name w:val="Footnote Text Char"/>
    <w:link w:val="FootnoteText"/>
    <w:semiHidden/>
    <w:locked/>
    <w:rsid w:val="00C16AA4"/>
    <w:rPr>
      <w:rFonts w:cs="Times New Roman"/>
      <w:sz w:val="20"/>
      <w:szCs w:val="20"/>
    </w:rPr>
  </w:style>
  <w:style w:type="character" w:styleId="FootnoteReference">
    <w:name w:val="footnote reference"/>
    <w:semiHidden/>
    <w:rsid w:val="00C16AA4"/>
    <w:rPr>
      <w:rFonts w:cs="Times New Roman"/>
      <w:vertAlign w:val="superscript"/>
    </w:rPr>
  </w:style>
  <w:style w:type="paragraph" w:styleId="EndnoteText">
    <w:name w:val="endnote text"/>
    <w:basedOn w:val="Normal"/>
    <w:link w:val="EndnoteTextChar"/>
    <w:semiHidden/>
    <w:rsid w:val="00594CEE"/>
    <w:pPr>
      <w:spacing w:after="0" w:line="240" w:lineRule="auto"/>
    </w:pPr>
    <w:rPr>
      <w:sz w:val="20"/>
      <w:szCs w:val="20"/>
    </w:rPr>
  </w:style>
  <w:style w:type="character" w:customStyle="1" w:styleId="EndnoteTextChar">
    <w:name w:val="Endnote Text Char"/>
    <w:link w:val="EndnoteText"/>
    <w:semiHidden/>
    <w:locked/>
    <w:rsid w:val="00594CEE"/>
    <w:rPr>
      <w:rFonts w:cs="Times New Roman"/>
      <w:sz w:val="20"/>
      <w:szCs w:val="20"/>
    </w:rPr>
  </w:style>
  <w:style w:type="character" w:styleId="EndnoteReference">
    <w:name w:val="endnote reference"/>
    <w:semiHidden/>
    <w:rsid w:val="00594CEE"/>
    <w:rPr>
      <w:rFonts w:cs="Times New Roman"/>
      <w:vertAlign w:val="superscript"/>
    </w:rPr>
  </w:style>
  <w:style w:type="character" w:styleId="Hyperlink">
    <w:name w:val="Hyperlink"/>
    <w:uiPriority w:val="99"/>
    <w:rsid w:val="00C03D66"/>
    <w:rPr>
      <w:rFonts w:cs="Times New Roman"/>
      <w:color w:val="0000FF"/>
      <w:u w:val="single"/>
    </w:rPr>
  </w:style>
  <w:style w:type="table" w:styleId="TableGrid">
    <w:name w:val="Table Grid"/>
    <w:basedOn w:val="TableNormal"/>
    <w:locked/>
    <w:rsid w:val="006007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78161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sid w:val="0054352A"/>
    <w:rPr>
      <w:rFonts w:eastAsia="Times New Roman"/>
      <w:b/>
      <w:bCs/>
      <w:kern w:val="32"/>
      <w:sz w:val="32"/>
      <w:szCs w:val="32"/>
      <w:lang w:eastAsia="en-US"/>
    </w:rPr>
  </w:style>
  <w:style w:type="paragraph" w:styleId="Revision">
    <w:name w:val="Revision"/>
    <w:hidden/>
    <w:uiPriority w:val="99"/>
    <w:semiHidden/>
    <w:rsid w:val="00CF1808"/>
    <w:rPr>
      <w:rFonts w:eastAsia="Times New Roman"/>
      <w:sz w:val="22"/>
      <w:szCs w:val="22"/>
      <w:lang w:val="en-US" w:eastAsia="en-US"/>
    </w:rPr>
  </w:style>
  <w:style w:type="character" w:customStyle="1" w:styleId="Heading2Char">
    <w:name w:val="Heading 2 Char"/>
    <w:link w:val="Heading2"/>
    <w:rsid w:val="00C658EE"/>
    <w:rPr>
      <w:rFonts w:eastAsia="Times New Roman" w:cs="Times New Roman"/>
      <w:b/>
      <w:bCs/>
      <w:iCs/>
      <w:sz w:val="28"/>
      <w:szCs w:val="28"/>
      <w:lang w:val="en-US" w:eastAsia="en-US"/>
    </w:rPr>
  </w:style>
  <w:style w:type="paragraph" w:styleId="TOC1">
    <w:name w:val="toc 1"/>
    <w:basedOn w:val="Normal"/>
    <w:next w:val="Normal"/>
    <w:autoRedefine/>
    <w:uiPriority w:val="39"/>
    <w:locked/>
    <w:rsid w:val="007771AF"/>
  </w:style>
  <w:style w:type="character" w:customStyle="1" w:styleId="Heading3Char">
    <w:name w:val="Heading 3 Char"/>
    <w:link w:val="Heading3"/>
    <w:rsid w:val="00C658EE"/>
    <w:rPr>
      <w:rFonts w:eastAsia="Times New Roman" w:cs="Times New Roman"/>
      <w:b/>
      <w:bCs/>
      <w:sz w:val="24"/>
      <w:szCs w:val="26"/>
      <w:lang w:val="en-US" w:eastAsia="en-US"/>
    </w:rPr>
  </w:style>
  <w:style w:type="paragraph" w:styleId="TOC2">
    <w:name w:val="toc 2"/>
    <w:basedOn w:val="Normal"/>
    <w:next w:val="Normal"/>
    <w:autoRedefine/>
    <w:uiPriority w:val="39"/>
    <w:locked/>
    <w:rsid w:val="007771AF"/>
    <w:pPr>
      <w:ind w:left="220"/>
    </w:pPr>
  </w:style>
  <w:style w:type="character" w:customStyle="1" w:styleId="Heading4Char">
    <w:name w:val="Heading 4 Char"/>
    <w:link w:val="Heading4"/>
    <w:rsid w:val="0054352A"/>
    <w:rPr>
      <w:rFonts w:eastAsia="Times New Roman" w:cs="Times New Roman"/>
      <w:b/>
      <w:bCs/>
      <w:sz w:val="24"/>
      <w:szCs w:val="28"/>
      <w:lang w:eastAsia="en-US"/>
    </w:rPr>
  </w:style>
  <w:style w:type="paragraph" w:styleId="TOCHeading">
    <w:name w:val="TOC Heading"/>
    <w:basedOn w:val="Heading1"/>
    <w:next w:val="Normal"/>
    <w:uiPriority w:val="39"/>
    <w:unhideWhenUsed/>
    <w:qFormat/>
    <w:rsid w:val="00F96C93"/>
    <w:pPr>
      <w:keepLines/>
      <w:spacing w:before="240" w:line="259" w:lineRule="auto"/>
      <w:outlineLvl w:val="9"/>
    </w:pPr>
    <w:rPr>
      <w:rFonts w:ascii="Aptos Display" w:hAnsi="Aptos Display"/>
      <w:b w:val="0"/>
      <w:bCs w:val="0"/>
      <w:color w:val="0F4761"/>
      <w:kern w:val="0"/>
      <w:lang w:eastAsia="en-IE"/>
    </w:rPr>
  </w:style>
  <w:style w:type="paragraph" w:styleId="TOC3">
    <w:name w:val="toc 3"/>
    <w:basedOn w:val="Normal"/>
    <w:next w:val="Normal"/>
    <w:autoRedefine/>
    <w:uiPriority w:val="39"/>
    <w:locked/>
    <w:rsid w:val="00F52958"/>
    <w:pPr>
      <w:tabs>
        <w:tab w:val="left" w:pos="960"/>
        <w:tab w:val="right" w:leader="dot" w:pos="935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036927-374F-4066-9953-14FC06B7CC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9</Pages>
  <Words>2138</Words>
  <Characters>12192</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14302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Aideen Bugler</dc:creator>
  <cp:keywords> </cp:keywords>
  <cp:lastModifiedBy>Aideen Bugler (Pensions Authority)</cp:lastModifiedBy>
  <cp:revision>4</cp:revision>
  <cp:lastPrinted>2022-03-02T11:38:00Z</cp:lastPrinted>
  <dcterms:created xsi:type="dcterms:W3CDTF">2026-04-07T13:58:00Z</dcterms:created>
  <dcterms:modified xsi:type="dcterms:W3CDTF">2026-04-07T14:15:00Z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gFAAvvm1OVlBaXFD/zJrRbwe8DiNeUBMbmSSnTidW+bWpia5cCyg+MJTyjzWskTZm4bm1dAp1k42avR5WaxqkNRh6ycs0zsfROXDK2DLzvqzU9EyAfJKCthM/Ygkwc94RyYXsMeTSCy0rdt5WaxqkNRh6ycs0zsfROXDK2DLzvqzU9EyAfJKCthM/Ygkwc94RyYXhBRgyCcBuJnf36PAyLimoCd6p8mRF25itdkEkkfb8T2ZZROBRvgHF</vt:lpwstr>
  </property>
  <property fmtid="{D5CDD505-2E9C-101B-9397-08002B2CF9AE}" pid="3" name="MAIL_MSG_ID2">
    <vt:lpwstr>A8LCE/R1pxe0vQ6LCVWFGq5wLgUzH2nK+UQwf81RuxHuDBbwZGAIgWHF3MiLSGZYLpT3xcnIWJ1RW4SjQD+zX5GfQIcDKUpFg==</vt:lpwstr>
  </property>
  <property fmtid="{D5CDD505-2E9C-101B-9397-08002B2CF9AE}" pid="4" name="RESPONSE_SENDER_NAME">
    <vt:lpwstr>gAAAJ+PfKkF/6hgFwNHxsdLCn7PSFhcCykpU</vt:lpwstr>
  </property>
  <property fmtid="{D5CDD505-2E9C-101B-9397-08002B2CF9AE}" pid="5" name="EMAIL_OWNER_ADDRESS">
    <vt:lpwstr>4AAA4Lxe55UJ0C9vMXltk0fJoT6wHlxQZRm6ZImIuInycR/vULlcQt8Oig==</vt:lpwstr>
  </property>
</Properties>
</file>