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39AD" w14:textId="77777777" w:rsidR="0099746F" w:rsidRDefault="0099746F" w:rsidP="0099746F">
      <w:pPr>
        <w:pStyle w:val="H1"/>
      </w:pPr>
      <w:r>
        <w:t xml:space="preserve">Presentation to IAPF Investment Conference </w:t>
      </w:r>
    </w:p>
    <w:p w14:paraId="20A3BBCF" w14:textId="6B9B90E4" w:rsidR="0099746F" w:rsidRDefault="0099746F" w:rsidP="0099746F">
      <w:pPr>
        <w:pStyle w:val="H1"/>
      </w:pPr>
      <w:r>
        <w:t>25 October 2022</w:t>
      </w:r>
    </w:p>
    <w:p w14:paraId="3A227E41" w14:textId="56EC68B4" w:rsidR="0099746F" w:rsidRPr="00363EC0" w:rsidRDefault="0099746F" w:rsidP="0099746F">
      <w:pPr>
        <w:pStyle w:val="P1"/>
        <w:rPr>
          <w:rFonts w:cs="Arial"/>
          <w:szCs w:val="24"/>
        </w:rPr>
      </w:pPr>
      <w:r w:rsidRPr="00363EC0">
        <w:rPr>
          <w:rFonts w:cs="Arial"/>
          <w:szCs w:val="24"/>
        </w:rPr>
        <w:t xml:space="preserve">Thanks to the IAPF for the invitation to address this investment conference today.  It is especially useful to have the opportunity to speak at a time </w:t>
      </w:r>
      <w:r w:rsidR="007E481B" w:rsidRPr="00363EC0">
        <w:rPr>
          <w:rFonts w:cs="Arial"/>
          <w:szCs w:val="24"/>
        </w:rPr>
        <w:t>when there is so much going on</w:t>
      </w:r>
      <w:r w:rsidR="00F711CF" w:rsidRPr="00363EC0">
        <w:rPr>
          <w:rFonts w:cs="Arial"/>
          <w:szCs w:val="24"/>
        </w:rPr>
        <w:t>.</w:t>
      </w:r>
    </w:p>
    <w:p w14:paraId="56DFAF40" w14:textId="793A1FDB" w:rsidR="007E481B" w:rsidRPr="00363EC0" w:rsidRDefault="004067FE" w:rsidP="0099746F">
      <w:pPr>
        <w:pStyle w:val="P1"/>
        <w:rPr>
          <w:rFonts w:cs="Arial"/>
          <w:szCs w:val="24"/>
        </w:rPr>
      </w:pPr>
      <w:r w:rsidRPr="00363EC0">
        <w:rPr>
          <w:rFonts w:cs="Arial"/>
          <w:szCs w:val="24"/>
        </w:rPr>
        <w:t xml:space="preserve">Although I will address </w:t>
      </w:r>
      <w:proofErr w:type="gramStart"/>
      <w:r w:rsidRPr="00363EC0">
        <w:rPr>
          <w:rFonts w:cs="Arial"/>
          <w:szCs w:val="24"/>
        </w:rPr>
        <w:t>a number of</w:t>
      </w:r>
      <w:proofErr w:type="gramEnd"/>
      <w:r w:rsidRPr="00363EC0">
        <w:rPr>
          <w:rFonts w:cs="Arial"/>
          <w:szCs w:val="24"/>
        </w:rPr>
        <w:t xml:space="preserve"> investment issues, </w:t>
      </w:r>
      <w:r w:rsidR="00CF536B" w:rsidRPr="00363EC0">
        <w:rPr>
          <w:rFonts w:cs="Arial"/>
          <w:szCs w:val="24"/>
        </w:rPr>
        <w:t xml:space="preserve">I think it would be useful if I put these </w:t>
      </w:r>
      <w:r w:rsidR="00B2119D" w:rsidRPr="00363EC0">
        <w:rPr>
          <w:rFonts w:cs="Arial"/>
          <w:szCs w:val="24"/>
        </w:rPr>
        <w:t>into an overall context</w:t>
      </w:r>
      <w:r w:rsidRPr="00363EC0">
        <w:rPr>
          <w:rFonts w:cs="Arial"/>
          <w:szCs w:val="24"/>
        </w:rPr>
        <w:t xml:space="preserve">.  </w:t>
      </w:r>
      <w:r w:rsidR="007E481B" w:rsidRPr="00363EC0">
        <w:rPr>
          <w:rFonts w:cs="Arial"/>
          <w:szCs w:val="24"/>
        </w:rPr>
        <w:t>As a result of the transposition of the IORP II Directive, Irish pensions are going through a period of change that is probably unprecedented.  One of the most important aspects of this change is the increased emphasis on the responsibilities and obligations of trustees.</w:t>
      </w:r>
      <w:r w:rsidR="00363EC0">
        <w:rPr>
          <w:rFonts w:cs="Arial"/>
          <w:szCs w:val="24"/>
        </w:rPr>
        <w:t xml:space="preserve">  </w:t>
      </w:r>
      <w:r w:rsidR="007E481B" w:rsidRPr="00363EC0">
        <w:rPr>
          <w:rFonts w:cs="Arial"/>
          <w:szCs w:val="24"/>
        </w:rPr>
        <w:t xml:space="preserve">Trustees must understand that all decisions taken in relation to their pension scheme, including investment decisions, are their responsibility.  </w:t>
      </w:r>
    </w:p>
    <w:p w14:paraId="224C45D2" w14:textId="5EA87E9A" w:rsidR="004067FE" w:rsidRPr="00363EC0" w:rsidRDefault="00363EC0" w:rsidP="0099746F">
      <w:pPr>
        <w:pStyle w:val="P1"/>
        <w:rPr>
          <w:rFonts w:cs="Arial"/>
          <w:szCs w:val="24"/>
        </w:rPr>
      </w:pPr>
      <w:proofErr w:type="gramStart"/>
      <w:r>
        <w:rPr>
          <w:rFonts w:cs="Arial"/>
          <w:szCs w:val="24"/>
        </w:rPr>
        <w:t>Of course</w:t>
      </w:r>
      <w:proofErr w:type="gramEnd"/>
      <w:r>
        <w:rPr>
          <w:rFonts w:cs="Arial"/>
          <w:szCs w:val="24"/>
        </w:rPr>
        <w:t xml:space="preserve"> t</w:t>
      </w:r>
      <w:r w:rsidR="007E481B" w:rsidRPr="00363EC0">
        <w:rPr>
          <w:rFonts w:cs="Arial"/>
          <w:szCs w:val="24"/>
        </w:rPr>
        <w:t xml:space="preserve">rustees are not required to be </w:t>
      </w:r>
      <w:r w:rsidR="00F279AF" w:rsidRPr="00363EC0">
        <w:rPr>
          <w:rFonts w:cs="Arial"/>
          <w:szCs w:val="24"/>
        </w:rPr>
        <w:t xml:space="preserve">professional </w:t>
      </w:r>
      <w:r w:rsidR="007E481B" w:rsidRPr="00363EC0">
        <w:rPr>
          <w:rFonts w:cs="Arial"/>
          <w:szCs w:val="24"/>
        </w:rPr>
        <w:t xml:space="preserve">investment managers.  However, at least some of the trustees must have a reasonable knowledge and experience of investment matters.  The investment decision process must be structured, thorough and well informed.  The </w:t>
      </w:r>
      <w:r w:rsidR="00E02787" w:rsidRPr="00363EC0">
        <w:rPr>
          <w:rFonts w:cs="Arial"/>
          <w:szCs w:val="24"/>
        </w:rPr>
        <w:t xml:space="preserve">investment objectives must be clearly stated and measurable.  </w:t>
      </w:r>
      <w:r w:rsidR="00D6332C" w:rsidRPr="00363EC0">
        <w:rPr>
          <w:rFonts w:cs="Arial"/>
          <w:szCs w:val="24"/>
        </w:rPr>
        <w:t>T</w:t>
      </w:r>
      <w:r w:rsidR="00E02787" w:rsidRPr="00363EC0">
        <w:rPr>
          <w:rFonts w:cs="Arial"/>
          <w:szCs w:val="24"/>
        </w:rPr>
        <w:t>rustees</w:t>
      </w:r>
      <w:r w:rsidR="007E481B" w:rsidRPr="00363EC0">
        <w:rPr>
          <w:rFonts w:cs="Arial"/>
          <w:szCs w:val="24"/>
        </w:rPr>
        <w:t xml:space="preserve"> must be able to understand the decisions that they make, </w:t>
      </w:r>
      <w:r w:rsidR="00596DAD" w:rsidRPr="00363EC0">
        <w:rPr>
          <w:rFonts w:cs="Arial"/>
          <w:szCs w:val="24"/>
        </w:rPr>
        <w:t xml:space="preserve">to understand why they made them and, if called upon, </w:t>
      </w:r>
      <w:r w:rsidR="00E02787" w:rsidRPr="00363EC0">
        <w:rPr>
          <w:rFonts w:cs="Arial"/>
          <w:szCs w:val="24"/>
        </w:rPr>
        <w:t xml:space="preserve">to explain </w:t>
      </w:r>
      <w:r w:rsidR="00F279AF" w:rsidRPr="00363EC0">
        <w:rPr>
          <w:rFonts w:cs="Arial"/>
          <w:szCs w:val="24"/>
        </w:rPr>
        <w:t xml:space="preserve">what alternatives they considered and </w:t>
      </w:r>
      <w:r w:rsidR="00E02787" w:rsidRPr="00363EC0">
        <w:rPr>
          <w:rFonts w:cs="Arial"/>
          <w:szCs w:val="24"/>
        </w:rPr>
        <w:t>why</w:t>
      </w:r>
      <w:r w:rsidR="00F279AF" w:rsidRPr="00363EC0">
        <w:rPr>
          <w:rFonts w:cs="Arial"/>
          <w:szCs w:val="24"/>
        </w:rPr>
        <w:t xml:space="preserve"> they made the decision that they made</w:t>
      </w:r>
      <w:r w:rsidR="00E02787" w:rsidRPr="00363EC0">
        <w:rPr>
          <w:rFonts w:cs="Arial"/>
          <w:szCs w:val="24"/>
        </w:rPr>
        <w:t>.</w:t>
      </w:r>
      <w:r w:rsidR="007E481B" w:rsidRPr="00363EC0">
        <w:rPr>
          <w:rFonts w:cs="Arial"/>
          <w:szCs w:val="24"/>
        </w:rPr>
        <w:t xml:space="preserve"> </w:t>
      </w:r>
    </w:p>
    <w:p w14:paraId="661C9564" w14:textId="0B941EB0" w:rsidR="00407857" w:rsidRPr="00363EC0" w:rsidRDefault="00407857" w:rsidP="0099746F">
      <w:pPr>
        <w:pStyle w:val="L1"/>
        <w:rPr>
          <w:rFonts w:cs="Arial"/>
          <w:b/>
          <w:bCs/>
          <w:i/>
          <w:iCs/>
          <w:szCs w:val="24"/>
        </w:rPr>
      </w:pPr>
      <w:r w:rsidRPr="00363EC0">
        <w:rPr>
          <w:rFonts w:cs="Arial"/>
          <w:b/>
          <w:bCs/>
          <w:i/>
          <w:iCs/>
          <w:szCs w:val="24"/>
        </w:rPr>
        <w:t>2022 so far</w:t>
      </w:r>
    </w:p>
    <w:p w14:paraId="02A2210C" w14:textId="06DC2A81" w:rsidR="00983653" w:rsidRPr="00363EC0" w:rsidRDefault="00F711CF" w:rsidP="0099746F">
      <w:pPr>
        <w:pStyle w:val="L1"/>
        <w:rPr>
          <w:rFonts w:cs="Arial"/>
          <w:szCs w:val="24"/>
        </w:rPr>
      </w:pPr>
      <w:r w:rsidRPr="00363EC0">
        <w:rPr>
          <w:rFonts w:cs="Arial"/>
          <w:szCs w:val="24"/>
        </w:rPr>
        <w:sym w:font="Wingdings" w:char="F0A7"/>
      </w:r>
      <w:r w:rsidRPr="00363EC0">
        <w:rPr>
          <w:rFonts w:cs="Arial"/>
          <w:szCs w:val="24"/>
        </w:rPr>
        <w:tab/>
      </w:r>
      <w:r w:rsidR="00983653" w:rsidRPr="00363EC0">
        <w:rPr>
          <w:rFonts w:cs="Arial"/>
          <w:szCs w:val="24"/>
        </w:rPr>
        <w:t xml:space="preserve">Obviously 2022 has so far been a </w:t>
      </w:r>
      <w:r w:rsidR="00407857" w:rsidRPr="00363EC0">
        <w:rPr>
          <w:rFonts w:cs="Arial"/>
          <w:szCs w:val="24"/>
        </w:rPr>
        <w:t xml:space="preserve">tough year for </w:t>
      </w:r>
      <w:r w:rsidR="00983653" w:rsidRPr="00363EC0">
        <w:rPr>
          <w:rFonts w:cs="Arial"/>
          <w:szCs w:val="24"/>
        </w:rPr>
        <w:t xml:space="preserve">pensions </w:t>
      </w:r>
      <w:r w:rsidR="00407857" w:rsidRPr="00363EC0">
        <w:rPr>
          <w:rFonts w:cs="Arial"/>
          <w:szCs w:val="24"/>
        </w:rPr>
        <w:t>investment</w:t>
      </w:r>
      <w:r w:rsidR="00596DAD" w:rsidRPr="00363EC0">
        <w:rPr>
          <w:rFonts w:cs="Arial"/>
          <w:szCs w:val="24"/>
        </w:rPr>
        <w:t xml:space="preserve"> – not </w:t>
      </w:r>
      <w:r w:rsidR="00983653" w:rsidRPr="00363EC0">
        <w:rPr>
          <w:rFonts w:cs="Arial"/>
          <w:szCs w:val="24"/>
        </w:rPr>
        <w:t xml:space="preserve">just poor returns but challenging volatility.  The re-emergence of significant inflation means that in real terms the returns have been even worse than </w:t>
      </w:r>
      <w:r w:rsidR="00F279AF" w:rsidRPr="00363EC0">
        <w:rPr>
          <w:rFonts w:cs="Arial"/>
          <w:szCs w:val="24"/>
        </w:rPr>
        <w:t>they look</w:t>
      </w:r>
      <w:r w:rsidR="00983653" w:rsidRPr="00363EC0">
        <w:rPr>
          <w:rFonts w:cs="Arial"/>
          <w:szCs w:val="24"/>
        </w:rPr>
        <w:t>.</w:t>
      </w:r>
    </w:p>
    <w:p w14:paraId="0D5BC6F7" w14:textId="1AA6B8D4" w:rsidR="00D6332C" w:rsidRPr="00363EC0" w:rsidRDefault="00983653" w:rsidP="0099746F">
      <w:pPr>
        <w:pStyle w:val="L1"/>
        <w:rPr>
          <w:rFonts w:cs="Arial"/>
          <w:szCs w:val="24"/>
        </w:rPr>
      </w:pPr>
      <w:r w:rsidRPr="00363EC0">
        <w:rPr>
          <w:rFonts w:cs="Arial"/>
          <w:szCs w:val="24"/>
        </w:rPr>
        <w:sym w:font="Wingdings" w:char="F0A7"/>
      </w:r>
      <w:r w:rsidRPr="00363EC0">
        <w:rPr>
          <w:rFonts w:cs="Arial"/>
          <w:szCs w:val="24"/>
        </w:rPr>
        <w:tab/>
      </w:r>
      <w:r w:rsidR="00D6332C" w:rsidRPr="00363EC0">
        <w:rPr>
          <w:rFonts w:cs="Arial"/>
          <w:szCs w:val="24"/>
        </w:rPr>
        <w:t xml:space="preserve">But over the course of a working lifetime and into retirement, there are going to be many years as unexpected and difficult as this year, and that is why long-term saving is so </w:t>
      </w:r>
      <w:r w:rsidR="003907D1" w:rsidRPr="00363EC0">
        <w:rPr>
          <w:rFonts w:cs="Arial"/>
          <w:szCs w:val="24"/>
        </w:rPr>
        <w:t>challenging</w:t>
      </w:r>
      <w:r w:rsidR="00D6332C" w:rsidRPr="00363EC0">
        <w:rPr>
          <w:rFonts w:cs="Arial"/>
          <w:szCs w:val="24"/>
        </w:rPr>
        <w:t xml:space="preserve">.  </w:t>
      </w:r>
      <w:r w:rsidR="00363EC0">
        <w:rPr>
          <w:rFonts w:cs="Arial"/>
          <w:szCs w:val="24"/>
        </w:rPr>
        <w:t>P</w:t>
      </w:r>
      <w:r w:rsidR="00D6332C" w:rsidRPr="00363EC0">
        <w:rPr>
          <w:rFonts w:cs="Arial"/>
          <w:szCs w:val="24"/>
        </w:rPr>
        <w:t>ension schemes must make sure that their investment strategies are designed to cope with bad time</w:t>
      </w:r>
      <w:r w:rsidR="00865883" w:rsidRPr="00363EC0">
        <w:rPr>
          <w:rFonts w:cs="Arial"/>
          <w:szCs w:val="24"/>
        </w:rPr>
        <w:t>s</w:t>
      </w:r>
      <w:r w:rsidR="00D6332C" w:rsidRPr="00363EC0">
        <w:rPr>
          <w:rFonts w:cs="Arial"/>
          <w:szCs w:val="24"/>
        </w:rPr>
        <w:t xml:space="preserve"> as well as good times.</w:t>
      </w:r>
    </w:p>
    <w:p w14:paraId="1601074B" w14:textId="1A3FAFAB" w:rsidR="000B5618" w:rsidRPr="00363EC0" w:rsidRDefault="000E2DFC" w:rsidP="0099746F">
      <w:pPr>
        <w:pStyle w:val="L1"/>
        <w:rPr>
          <w:rFonts w:cs="Arial"/>
          <w:szCs w:val="24"/>
        </w:rPr>
      </w:pPr>
      <w:r w:rsidRPr="00363EC0">
        <w:rPr>
          <w:rFonts w:cs="Arial"/>
          <w:szCs w:val="24"/>
        </w:rPr>
        <w:sym w:font="Wingdings" w:char="F0A7"/>
      </w:r>
      <w:r w:rsidRPr="00363EC0">
        <w:rPr>
          <w:rFonts w:cs="Arial"/>
          <w:szCs w:val="24"/>
        </w:rPr>
        <w:tab/>
      </w:r>
      <w:proofErr w:type="gramStart"/>
      <w:r w:rsidR="00596DAD" w:rsidRPr="00363EC0">
        <w:rPr>
          <w:rFonts w:cs="Arial"/>
          <w:szCs w:val="24"/>
        </w:rPr>
        <w:t>Obviously</w:t>
      </w:r>
      <w:proofErr w:type="gramEnd"/>
      <w:r w:rsidR="00596DAD" w:rsidRPr="00363EC0">
        <w:rPr>
          <w:rFonts w:cs="Arial"/>
          <w:szCs w:val="24"/>
        </w:rPr>
        <w:t xml:space="preserve"> many DC members will be concerned about recent investment returns, especially those </w:t>
      </w:r>
      <w:r w:rsidR="00BC62BB" w:rsidRPr="00363EC0">
        <w:rPr>
          <w:rFonts w:cs="Arial"/>
          <w:szCs w:val="24"/>
        </w:rPr>
        <w:t xml:space="preserve">who are </w:t>
      </w:r>
      <w:r w:rsidR="00596DAD" w:rsidRPr="00363EC0">
        <w:rPr>
          <w:rFonts w:cs="Arial"/>
          <w:szCs w:val="24"/>
        </w:rPr>
        <w:t xml:space="preserve">close to their retirement.  Trustees should be </w:t>
      </w:r>
      <w:r w:rsidR="00F279AF" w:rsidRPr="00363EC0">
        <w:rPr>
          <w:rFonts w:cs="Arial"/>
          <w:szCs w:val="24"/>
        </w:rPr>
        <w:t>satisfied</w:t>
      </w:r>
      <w:r w:rsidR="00596DAD" w:rsidRPr="00363EC0">
        <w:rPr>
          <w:rFonts w:cs="Arial"/>
          <w:szCs w:val="24"/>
        </w:rPr>
        <w:t xml:space="preserve"> that their investment strategy for default funds </w:t>
      </w:r>
      <w:r w:rsidR="00D6332C" w:rsidRPr="00363EC0">
        <w:rPr>
          <w:rFonts w:cs="Arial"/>
          <w:szCs w:val="24"/>
        </w:rPr>
        <w:t xml:space="preserve">takes account of short-term risks </w:t>
      </w:r>
      <w:r w:rsidR="00596DAD" w:rsidRPr="00363EC0">
        <w:rPr>
          <w:rFonts w:cs="Arial"/>
          <w:szCs w:val="24"/>
        </w:rPr>
        <w:t>as members approach retirement</w:t>
      </w:r>
      <w:r w:rsidR="00F279AF" w:rsidRPr="00363EC0">
        <w:rPr>
          <w:rFonts w:cs="Arial"/>
          <w:szCs w:val="24"/>
        </w:rPr>
        <w:t xml:space="preserve"> and indeed of their members’ likely risk appetite</w:t>
      </w:r>
      <w:r w:rsidR="000B5618" w:rsidRPr="00363EC0">
        <w:rPr>
          <w:rFonts w:cs="Arial"/>
          <w:szCs w:val="24"/>
        </w:rPr>
        <w:t xml:space="preserve">.  </w:t>
      </w:r>
      <w:r w:rsidR="00BC62BB" w:rsidRPr="00363EC0">
        <w:rPr>
          <w:rFonts w:cs="Arial"/>
          <w:szCs w:val="24"/>
        </w:rPr>
        <w:tab/>
      </w:r>
      <w:r w:rsidR="000B5618" w:rsidRPr="00363EC0">
        <w:rPr>
          <w:rFonts w:cs="Arial"/>
          <w:szCs w:val="24"/>
        </w:rPr>
        <w:t xml:space="preserve">Even where members </w:t>
      </w:r>
      <w:r w:rsidR="00D6332C" w:rsidRPr="00363EC0">
        <w:rPr>
          <w:rFonts w:cs="Arial"/>
          <w:szCs w:val="24"/>
        </w:rPr>
        <w:t>are planning</w:t>
      </w:r>
      <w:r w:rsidR="000B5618" w:rsidRPr="00363EC0">
        <w:rPr>
          <w:rFonts w:cs="Arial"/>
          <w:szCs w:val="24"/>
        </w:rPr>
        <w:t xml:space="preserve"> to invest in an ARF post retirement, it is more difficult to recover investment shortfalls once drawdown has begun.</w:t>
      </w:r>
    </w:p>
    <w:p w14:paraId="09D8A21B" w14:textId="76FB95B1" w:rsidR="00407857" w:rsidRPr="00363EC0" w:rsidRDefault="000B5618" w:rsidP="0099746F">
      <w:pPr>
        <w:pStyle w:val="L1"/>
        <w:rPr>
          <w:rFonts w:cs="Arial"/>
          <w:szCs w:val="24"/>
        </w:rPr>
      </w:pPr>
      <w:r w:rsidRPr="00363EC0">
        <w:rPr>
          <w:rFonts w:cs="Arial"/>
          <w:szCs w:val="24"/>
        </w:rPr>
        <w:sym w:font="Wingdings" w:char="F0A7"/>
      </w:r>
      <w:r w:rsidRPr="00363EC0">
        <w:rPr>
          <w:rFonts w:cs="Arial"/>
          <w:szCs w:val="24"/>
        </w:rPr>
        <w:tab/>
        <w:t xml:space="preserve">These recent losses will also be a concern for those with </w:t>
      </w:r>
      <w:r w:rsidR="00407857" w:rsidRPr="00363EC0">
        <w:rPr>
          <w:rFonts w:cs="Arial"/>
          <w:szCs w:val="24"/>
        </w:rPr>
        <w:t>ARFs</w:t>
      </w:r>
      <w:r w:rsidRPr="00363EC0">
        <w:rPr>
          <w:rFonts w:cs="Arial"/>
          <w:szCs w:val="24"/>
        </w:rPr>
        <w:t>.  The Pensions Authority supports</w:t>
      </w:r>
      <w:r w:rsidR="000E2DFC" w:rsidRPr="00363EC0">
        <w:rPr>
          <w:rFonts w:cs="Arial"/>
          <w:szCs w:val="24"/>
        </w:rPr>
        <w:t xml:space="preserve"> </w:t>
      </w:r>
      <w:r w:rsidRPr="00363EC0">
        <w:rPr>
          <w:rFonts w:cs="Arial"/>
          <w:szCs w:val="24"/>
        </w:rPr>
        <w:t xml:space="preserve">proposals for more regulation of ARFs and for in-scheme drawdown.  This is not intended to reduce the investment </w:t>
      </w:r>
      <w:r w:rsidRPr="00363EC0">
        <w:rPr>
          <w:rFonts w:cs="Arial"/>
          <w:szCs w:val="24"/>
        </w:rPr>
        <w:lastRenderedPageBreak/>
        <w:t>choices available, but to provide better structures and support for the many savers who have limited investment experience and confidence.</w:t>
      </w:r>
    </w:p>
    <w:p w14:paraId="56CF88CD" w14:textId="3087DDF1" w:rsidR="00407857" w:rsidRPr="00363EC0" w:rsidRDefault="000B5618" w:rsidP="0099746F">
      <w:pPr>
        <w:pStyle w:val="L1"/>
        <w:rPr>
          <w:rFonts w:cs="Arial"/>
          <w:szCs w:val="24"/>
        </w:rPr>
      </w:pPr>
      <w:r w:rsidRPr="00363EC0">
        <w:rPr>
          <w:rFonts w:cs="Arial"/>
          <w:szCs w:val="24"/>
        </w:rPr>
        <w:sym w:font="Wingdings" w:char="F0A7"/>
      </w:r>
      <w:r w:rsidRPr="00363EC0">
        <w:rPr>
          <w:rFonts w:cs="Arial"/>
          <w:szCs w:val="24"/>
        </w:rPr>
        <w:tab/>
      </w:r>
      <w:r w:rsidR="00407857" w:rsidRPr="00363EC0">
        <w:rPr>
          <w:rFonts w:cs="Arial"/>
          <w:szCs w:val="24"/>
        </w:rPr>
        <w:t>It is likely that the solvency position of many DB schemes has improved this year – asset</w:t>
      </w:r>
      <w:r w:rsidRPr="00363EC0">
        <w:rPr>
          <w:rFonts w:cs="Arial"/>
          <w:szCs w:val="24"/>
        </w:rPr>
        <w:t xml:space="preserve"> value</w:t>
      </w:r>
      <w:r w:rsidR="00407857" w:rsidRPr="00363EC0">
        <w:rPr>
          <w:rFonts w:cs="Arial"/>
          <w:szCs w:val="24"/>
        </w:rPr>
        <w:t>s fell but liabilities fell even more.</w:t>
      </w:r>
      <w:r w:rsidR="00F711CF" w:rsidRPr="00363EC0">
        <w:rPr>
          <w:rFonts w:cs="Arial"/>
          <w:szCs w:val="24"/>
        </w:rPr>
        <w:t xml:space="preserve">  </w:t>
      </w:r>
      <w:r w:rsidR="00407857" w:rsidRPr="00363EC0">
        <w:rPr>
          <w:rFonts w:cs="Arial"/>
          <w:szCs w:val="24"/>
        </w:rPr>
        <w:t xml:space="preserve">But </w:t>
      </w:r>
      <w:r w:rsidR="007B7283" w:rsidRPr="00363EC0">
        <w:rPr>
          <w:rFonts w:cs="Arial"/>
          <w:szCs w:val="24"/>
        </w:rPr>
        <w:t xml:space="preserve">this does not simply mean that the members of those schemes are better off.  We </w:t>
      </w:r>
      <w:r w:rsidR="00407857" w:rsidRPr="00363EC0">
        <w:rPr>
          <w:rFonts w:cs="Arial"/>
          <w:szCs w:val="24"/>
        </w:rPr>
        <w:t xml:space="preserve">should </w:t>
      </w:r>
      <w:r w:rsidR="007B7283" w:rsidRPr="00363EC0">
        <w:rPr>
          <w:rFonts w:cs="Arial"/>
          <w:szCs w:val="24"/>
        </w:rPr>
        <w:t>remember</w:t>
      </w:r>
      <w:r w:rsidR="00407857" w:rsidRPr="00363EC0">
        <w:rPr>
          <w:rFonts w:cs="Arial"/>
          <w:szCs w:val="24"/>
        </w:rPr>
        <w:t xml:space="preserve"> that very few funded DB schemes provide post-retirement pension increases.</w:t>
      </w:r>
      <w:r w:rsidR="000E2DFC" w:rsidRPr="00363EC0">
        <w:rPr>
          <w:rFonts w:cs="Arial"/>
          <w:szCs w:val="24"/>
        </w:rPr>
        <w:t xml:space="preserve"> </w:t>
      </w:r>
      <w:r w:rsidR="00407857" w:rsidRPr="00363EC0">
        <w:rPr>
          <w:rFonts w:cs="Arial"/>
          <w:szCs w:val="24"/>
        </w:rPr>
        <w:t xml:space="preserve"> DB solvency has improved </w:t>
      </w:r>
      <w:proofErr w:type="gramStart"/>
      <w:r w:rsidR="00407857" w:rsidRPr="00363EC0">
        <w:rPr>
          <w:rFonts w:cs="Arial"/>
          <w:szCs w:val="24"/>
        </w:rPr>
        <w:t>as a result of</w:t>
      </w:r>
      <w:proofErr w:type="gramEnd"/>
      <w:r w:rsidR="00407857" w:rsidRPr="00363EC0">
        <w:rPr>
          <w:rFonts w:cs="Arial"/>
          <w:szCs w:val="24"/>
        </w:rPr>
        <w:t xml:space="preserve"> higher interest rates, which are a consequence of higher inflation.</w:t>
      </w:r>
      <w:r w:rsidR="00F711CF" w:rsidRPr="00363EC0">
        <w:rPr>
          <w:rFonts w:cs="Arial"/>
          <w:szCs w:val="24"/>
        </w:rPr>
        <w:t xml:space="preserve"> </w:t>
      </w:r>
      <w:r w:rsidR="00407857" w:rsidRPr="00363EC0">
        <w:rPr>
          <w:rFonts w:cs="Arial"/>
          <w:szCs w:val="24"/>
        </w:rPr>
        <w:t xml:space="preserve"> The improved solvency has been achieved </w:t>
      </w:r>
      <w:proofErr w:type="gramStart"/>
      <w:r w:rsidR="00407857" w:rsidRPr="00363EC0">
        <w:rPr>
          <w:rFonts w:cs="Arial"/>
          <w:szCs w:val="24"/>
        </w:rPr>
        <w:t>as a result of</w:t>
      </w:r>
      <w:proofErr w:type="gramEnd"/>
      <w:r w:rsidR="00407857" w:rsidRPr="00363EC0">
        <w:rPr>
          <w:rFonts w:cs="Arial"/>
          <w:szCs w:val="24"/>
        </w:rPr>
        <w:t xml:space="preserve"> a reduction in the real value of retirement benefits.</w:t>
      </w:r>
    </w:p>
    <w:p w14:paraId="72BFF3A4" w14:textId="77777777" w:rsidR="00407857" w:rsidRPr="00363EC0" w:rsidRDefault="00407857" w:rsidP="0099746F">
      <w:pPr>
        <w:pStyle w:val="L1"/>
        <w:rPr>
          <w:rFonts w:cs="Arial"/>
          <w:b/>
          <w:bCs/>
          <w:i/>
          <w:iCs/>
          <w:szCs w:val="24"/>
        </w:rPr>
      </w:pPr>
      <w:r w:rsidRPr="00363EC0">
        <w:rPr>
          <w:rFonts w:cs="Arial"/>
          <w:b/>
          <w:bCs/>
          <w:i/>
          <w:iCs/>
          <w:szCs w:val="24"/>
        </w:rPr>
        <w:t>Implementation of IORP II</w:t>
      </w:r>
    </w:p>
    <w:p w14:paraId="2592557F" w14:textId="131994A7" w:rsidR="00407857" w:rsidRPr="00363EC0" w:rsidRDefault="00772D94" w:rsidP="0099746F">
      <w:pPr>
        <w:pStyle w:val="L1"/>
        <w:rPr>
          <w:rFonts w:cs="Arial"/>
          <w:szCs w:val="24"/>
        </w:rPr>
      </w:pPr>
      <w:r w:rsidRPr="00363EC0">
        <w:rPr>
          <w:rFonts w:cs="Arial"/>
          <w:szCs w:val="24"/>
        </w:rPr>
        <w:sym w:font="Wingdings" w:char="F0A7"/>
      </w:r>
      <w:r w:rsidRPr="00363EC0">
        <w:rPr>
          <w:rFonts w:cs="Arial"/>
          <w:szCs w:val="24"/>
        </w:rPr>
        <w:tab/>
        <w:t xml:space="preserve">You are, I am sure, </w:t>
      </w:r>
      <w:proofErr w:type="gramStart"/>
      <w:r w:rsidRPr="00363EC0">
        <w:rPr>
          <w:rFonts w:cs="Arial"/>
          <w:szCs w:val="24"/>
        </w:rPr>
        <w:t>well aware</w:t>
      </w:r>
      <w:proofErr w:type="gramEnd"/>
      <w:r w:rsidRPr="00363EC0">
        <w:rPr>
          <w:rFonts w:cs="Arial"/>
          <w:szCs w:val="24"/>
        </w:rPr>
        <w:t xml:space="preserve"> of the deadline of 1 January 2023 for group schemes to comply with the obligations of IORP II.  </w:t>
      </w:r>
      <w:r w:rsidR="00DC2411" w:rsidRPr="00363EC0">
        <w:rPr>
          <w:rFonts w:cs="Arial"/>
          <w:szCs w:val="24"/>
        </w:rPr>
        <w:t xml:space="preserve">We in the Authority are very </w:t>
      </w:r>
      <w:r w:rsidR="007B7283" w:rsidRPr="00363EC0">
        <w:rPr>
          <w:rFonts w:cs="Arial"/>
          <w:szCs w:val="24"/>
        </w:rPr>
        <w:t>conscious</w:t>
      </w:r>
      <w:r w:rsidR="00407857" w:rsidRPr="00363EC0">
        <w:rPr>
          <w:rFonts w:cs="Arial"/>
          <w:szCs w:val="24"/>
        </w:rPr>
        <w:t xml:space="preserve"> that a great deal of work is going on to meet </w:t>
      </w:r>
      <w:r w:rsidR="00DC2411" w:rsidRPr="00363EC0">
        <w:rPr>
          <w:rFonts w:cs="Arial"/>
          <w:szCs w:val="24"/>
        </w:rPr>
        <w:t>that</w:t>
      </w:r>
      <w:r w:rsidR="00407857" w:rsidRPr="00363EC0">
        <w:rPr>
          <w:rFonts w:cs="Arial"/>
          <w:szCs w:val="24"/>
        </w:rPr>
        <w:t xml:space="preserve"> deadline</w:t>
      </w:r>
      <w:r w:rsidR="007B7283" w:rsidRPr="00363EC0">
        <w:rPr>
          <w:rFonts w:cs="Arial"/>
          <w:szCs w:val="24"/>
        </w:rPr>
        <w:t>.  We are</w:t>
      </w:r>
      <w:r w:rsidR="00407857" w:rsidRPr="00363EC0">
        <w:rPr>
          <w:rFonts w:cs="Arial"/>
          <w:szCs w:val="24"/>
        </w:rPr>
        <w:t xml:space="preserve">, </w:t>
      </w:r>
      <w:r w:rsidR="007B7283" w:rsidRPr="00363EC0">
        <w:rPr>
          <w:rFonts w:cs="Arial"/>
          <w:szCs w:val="24"/>
        </w:rPr>
        <w:t>however,</w:t>
      </w:r>
      <w:r w:rsidR="00407857" w:rsidRPr="00363EC0">
        <w:rPr>
          <w:rFonts w:cs="Arial"/>
          <w:szCs w:val="24"/>
        </w:rPr>
        <w:t xml:space="preserve"> concern</w:t>
      </w:r>
      <w:r w:rsidR="00DC2411" w:rsidRPr="00363EC0">
        <w:rPr>
          <w:rFonts w:cs="Arial"/>
          <w:szCs w:val="24"/>
        </w:rPr>
        <w:t>ed</w:t>
      </w:r>
      <w:r w:rsidR="00407857" w:rsidRPr="00363EC0">
        <w:rPr>
          <w:rFonts w:cs="Arial"/>
          <w:szCs w:val="24"/>
        </w:rPr>
        <w:t xml:space="preserve"> that some schemes do not seem to have a sense of urgency</w:t>
      </w:r>
      <w:r w:rsidR="00865883" w:rsidRPr="00363EC0">
        <w:rPr>
          <w:rFonts w:cs="Arial"/>
          <w:szCs w:val="24"/>
        </w:rPr>
        <w:t>.</w:t>
      </w:r>
    </w:p>
    <w:p w14:paraId="1A8BF7BA" w14:textId="6126274E" w:rsidR="007B7283" w:rsidRPr="00363EC0" w:rsidRDefault="00DC2411" w:rsidP="0099746F">
      <w:pPr>
        <w:pStyle w:val="L1"/>
        <w:rPr>
          <w:rFonts w:cs="Arial"/>
          <w:szCs w:val="24"/>
        </w:rPr>
      </w:pPr>
      <w:r w:rsidRPr="00363EC0">
        <w:rPr>
          <w:rFonts w:cs="Arial"/>
          <w:szCs w:val="24"/>
        </w:rPr>
        <w:sym w:font="Wingdings" w:char="F0A7"/>
      </w:r>
      <w:r w:rsidRPr="00363EC0">
        <w:rPr>
          <w:rFonts w:cs="Arial"/>
          <w:szCs w:val="24"/>
        </w:rPr>
        <w:tab/>
        <w:t>One of the most significant innovations of IORP II is the Own Risk Assessment obligation, the ORA.  We know that risk assessment is already the practice for some schemes, but for many schemes, this is a new responsibility</w:t>
      </w:r>
      <w:r w:rsidR="007B7283" w:rsidRPr="00363EC0">
        <w:rPr>
          <w:rFonts w:cs="Arial"/>
          <w:szCs w:val="24"/>
        </w:rPr>
        <w:t xml:space="preserve"> or one that needs to be significantly expanded</w:t>
      </w:r>
      <w:r w:rsidRPr="00363EC0">
        <w:rPr>
          <w:rFonts w:cs="Arial"/>
          <w:szCs w:val="24"/>
        </w:rPr>
        <w:t>.</w:t>
      </w:r>
      <w:r w:rsidR="00407857" w:rsidRPr="00363EC0">
        <w:rPr>
          <w:rFonts w:cs="Arial"/>
          <w:szCs w:val="24"/>
        </w:rPr>
        <w:t xml:space="preserve"> </w:t>
      </w:r>
      <w:r w:rsidRPr="00363EC0">
        <w:rPr>
          <w:rFonts w:cs="Arial"/>
          <w:szCs w:val="24"/>
        </w:rPr>
        <w:t xml:space="preserve"> </w:t>
      </w:r>
    </w:p>
    <w:p w14:paraId="79E69CFC" w14:textId="4E1A2BE8" w:rsidR="00407857" w:rsidRPr="00363EC0" w:rsidRDefault="007B7283" w:rsidP="0099746F">
      <w:pPr>
        <w:pStyle w:val="L1"/>
        <w:rPr>
          <w:rFonts w:cs="Arial"/>
          <w:szCs w:val="24"/>
        </w:rPr>
      </w:pPr>
      <w:r w:rsidRPr="00363EC0">
        <w:rPr>
          <w:rFonts w:cs="Arial"/>
          <w:szCs w:val="24"/>
        </w:rPr>
        <w:sym w:font="Wingdings" w:char="F0A7"/>
      </w:r>
      <w:r w:rsidRPr="00363EC0">
        <w:rPr>
          <w:rFonts w:cs="Arial"/>
          <w:szCs w:val="24"/>
        </w:rPr>
        <w:tab/>
      </w:r>
      <w:r w:rsidR="00DC2411" w:rsidRPr="00363EC0">
        <w:rPr>
          <w:rFonts w:cs="Arial"/>
          <w:szCs w:val="24"/>
        </w:rPr>
        <w:t xml:space="preserve">The ORA must be thorough, and where possible, and </w:t>
      </w:r>
      <w:r w:rsidRPr="00363EC0">
        <w:rPr>
          <w:rFonts w:cs="Arial"/>
          <w:szCs w:val="24"/>
        </w:rPr>
        <w:t>especially</w:t>
      </w:r>
      <w:r w:rsidR="00DC2411" w:rsidRPr="00363EC0">
        <w:rPr>
          <w:rFonts w:cs="Arial"/>
          <w:szCs w:val="24"/>
        </w:rPr>
        <w:t xml:space="preserve"> in relation to investment and solvency matters, it should be quantitative.  But the most important aspect of the ORA is that it must be objective.  The approach must be to assess </w:t>
      </w:r>
      <w:r w:rsidRPr="00363EC0">
        <w:rPr>
          <w:rFonts w:cs="Arial"/>
          <w:szCs w:val="24"/>
        </w:rPr>
        <w:t>all the</w:t>
      </w:r>
      <w:r w:rsidR="00DC2411" w:rsidRPr="00363EC0">
        <w:rPr>
          <w:rFonts w:cs="Arial"/>
          <w:szCs w:val="24"/>
        </w:rPr>
        <w:t xml:space="preserve"> risks facing the scheme and deciding how best to address those risks.  What the ORA must</w:t>
      </w:r>
      <w:r w:rsidR="00D46E1B" w:rsidRPr="00363EC0">
        <w:rPr>
          <w:rFonts w:cs="Arial"/>
          <w:szCs w:val="24"/>
        </w:rPr>
        <w:t xml:space="preserve"> </w:t>
      </w:r>
      <w:r w:rsidR="00DC2411" w:rsidRPr="00363EC0">
        <w:rPr>
          <w:rFonts w:cs="Arial"/>
          <w:szCs w:val="24"/>
        </w:rPr>
        <w:t>not be is a rationalisation of the decision</w:t>
      </w:r>
      <w:r w:rsidR="00D46E1B" w:rsidRPr="00363EC0">
        <w:rPr>
          <w:rFonts w:cs="Arial"/>
          <w:szCs w:val="24"/>
        </w:rPr>
        <w:t>s previously made.</w:t>
      </w:r>
    </w:p>
    <w:p w14:paraId="442EA9B1" w14:textId="48FC7ED3" w:rsidR="00D46E1B" w:rsidRPr="00363EC0" w:rsidRDefault="00D46E1B" w:rsidP="0099746F">
      <w:pPr>
        <w:pStyle w:val="L1"/>
        <w:rPr>
          <w:rFonts w:cs="Arial"/>
          <w:szCs w:val="24"/>
        </w:rPr>
      </w:pPr>
      <w:r w:rsidRPr="00363EC0">
        <w:rPr>
          <w:rFonts w:cs="Arial"/>
          <w:szCs w:val="24"/>
        </w:rPr>
        <w:sym w:font="Wingdings" w:char="F0A7"/>
      </w:r>
      <w:r w:rsidRPr="00363EC0">
        <w:rPr>
          <w:rFonts w:cs="Arial"/>
          <w:szCs w:val="24"/>
        </w:rPr>
        <w:tab/>
        <w:t xml:space="preserve">The consideration of investment risk in the ORA should be no less thorough for DC schemes than for DB.  The ORA process must look at the risks to DC member outcomes, and it should look at all investment options, not just the default investment strategy.  </w:t>
      </w:r>
    </w:p>
    <w:p w14:paraId="669801EB" w14:textId="796336C0" w:rsidR="00CE3F34" w:rsidRPr="00363EC0" w:rsidRDefault="00CE3F34" w:rsidP="0099746F">
      <w:pPr>
        <w:pStyle w:val="L1"/>
        <w:rPr>
          <w:rFonts w:cs="Arial"/>
          <w:szCs w:val="24"/>
        </w:rPr>
      </w:pPr>
      <w:r w:rsidRPr="00363EC0">
        <w:rPr>
          <w:rFonts w:cs="Arial"/>
          <w:szCs w:val="24"/>
        </w:rPr>
        <w:sym w:font="Wingdings" w:char="F0A7"/>
      </w:r>
      <w:r w:rsidRPr="00363EC0">
        <w:rPr>
          <w:rFonts w:cs="Arial"/>
          <w:szCs w:val="24"/>
        </w:rPr>
        <w:tab/>
        <w:t>The quality and integrity of the ORA are unambiguously the responsibility of the scheme trustees.  But obviously the risk key function holder will play a vital role in the process.  In particular, the risk KFH will use their knowledge and experience to support the trustees in ensuring that the ORA process is thorough and objective.</w:t>
      </w:r>
    </w:p>
    <w:p w14:paraId="3DDE1087" w14:textId="6DE8C8FC" w:rsidR="004813B8" w:rsidRPr="00363EC0" w:rsidRDefault="00CE3F34" w:rsidP="0099746F">
      <w:pPr>
        <w:pStyle w:val="L1"/>
        <w:rPr>
          <w:rFonts w:cs="Arial"/>
          <w:szCs w:val="24"/>
        </w:rPr>
      </w:pPr>
      <w:r w:rsidRPr="00363EC0">
        <w:rPr>
          <w:rFonts w:cs="Arial"/>
          <w:szCs w:val="24"/>
        </w:rPr>
        <w:sym w:font="Wingdings" w:char="F0A7"/>
      </w:r>
      <w:r w:rsidRPr="00363EC0">
        <w:rPr>
          <w:rFonts w:cs="Arial"/>
          <w:szCs w:val="24"/>
        </w:rPr>
        <w:tab/>
      </w:r>
      <w:r w:rsidR="00D76BE2" w:rsidRPr="00363EC0">
        <w:rPr>
          <w:rFonts w:cs="Arial"/>
          <w:szCs w:val="24"/>
        </w:rPr>
        <w:t>However, it is important to be clear that trustees</w:t>
      </w:r>
      <w:r w:rsidR="007B7283" w:rsidRPr="00363EC0">
        <w:rPr>
          <w:rFonts w:cs="Arial"/>
          <w:szCs w:val="24"/>
        </w:rPr>
        <w:t>’</w:t>
      </w:r>
      <w:r w:rsidR="00D76BE2" w:rsidRPr="00363EC0">
        <w:rPr>
          <w:rFonts w:cs="Arial"/>
          <w:szCs w:val="24"/>
        </w:rPr>
        <w:t xml:space="preserve"> </w:t>
      </w:r>
      <w:r w:rsidR="007B7283" w:rsidRPr="00363EC0">
        <w:rPr>
          <w:rFonts w:cs="Arial"/>
          <w:szCs w:val="24"/>
        </w:rPr>
        <w:t xml:space="preserve">obligations </w:t>
      </w:r>
      <w:r w:rsidR="00D76BE2" w:rsidRPr="00363EC0">
        <w:rPr>
          <w:rFonts w:cs="Arial"/>
          <w:szCs w:val="24"/>
        </w:rPr>
        <w:t>in relation to risk are not limited to completing a periodic ORA</w:t>
      </w:r>
      <w:r w:rsidR="004813B8" w:rsidRPr="00363EC0">
        <w:rPr>
          <w:rFonts w:cs="Arial"/>
          <w:szCs w:val="24"/>
        </w:rPr>
        <w:t xml:space="preserve">.  Trustees must put in place a risk management system, which has an ongoing function within the management and governance of the scheme.  Similarly, the role of the </w:t>
      </w:r>
      <w:r w:rsidR="00D76BE2" w:rsidRPr="00363EC0">
        <w:rPr>
          <w:rFonts w:cs="Arial"/>
          <w:szCs w:val="24"/>
        </w:rPr>
        <w:t xml:space="preserve">risk KFH is an ongoing </w:t>
      </w:r>
      <w:proofErr w:type="gramStart"/>
      <w:r w:rsidR="004813B8" w:rsidRPr="00363EC0">
        <w:rPr>
          <w:rFonts w:cs="Arial"/>
          <w:szCs w:val="24"/>
        </w:rPr>
        <w:t>responsibility</w:t>
      </w:r>
      <w:r w:rsidR="00D76BE2" w:rsidRPr="00363EC0">
        <w:rPr>
          <w:rFonts w:cs="Arial"/>
          <w:szCs w:val="24"/>
        </w:rPr>
        <w:t>, and</w:t>
      </w:r>
      <w:proofErr w:type="gramEnd"/>
      <w:r w:rsidR="00D76BE2" w:rsidRPr="00363EC0">
        <w:rPr>
          <w:rFonts w:cs="Arial"/>
          <w:szCs w:val="24"/>
        </w:rPr>
        <w:t xml:space="preserve"> is not </w:t>
      </w:r>
      <w:r w:rsidR="004813B8" w:rsidRPr="00363EC0">
        <w:rPr>
          <w:rFonts w:cs="Arial"/>
          <w:szCs w:val="24"/>
        </w:rPr>
        <w:t xml:space="preserve">limited to the task of supporting the ORA.  </w:t>
      </w:r>
      <w:r w:rsidR="00BC62BB" w:rsidRPr="00363EC0">
        <w:rPr>
          <w:rFonts w:cs="Arial"/>
          <w:szCs w:val="24"/>
        </w:rPr>
        <w:tab/>
      </w:r>
      <w:r w:rsidR="00407857" w:rsidRPr="00363EC0">
        <w:rPr>
          <w:rFonts w:cs="Arial"/>
          <w:szCs w:val="24"/>
        </w:rPr>
        <w:t xml:space="preserve">We would </w:t>
      </w:r>
      <w:r w:rsidR="004813B8" w:rsidRPr="00363EC0">
        <w:rPr>
          <w:rFonts w:cs="Arial"/>
          <w:szCs w:val="24"/>
        </w:rPr>
        <w:t xml:space="preserve">therefore expect any newly appointed risk </w:t>
      </w:r>
      <w:r w:rsidR="00407857" w:rsidRPr="00363EC0">
        <w:rPr>
          <w:rFonts w:cs="Arial"/>
          <w:szCs w:val="24"/>
        </w:rPr>
        <w:t xml:space="preserve">KFHs to be </w:t>
      </w:r>
      <w:r w:rsidR="004813B8" w:rsidRPr="00363EC0">
        <w:rPr>
          <w:rFonts w:cs="Arial"/>
          <w:szCs w:val="24"/>
        </w:rPr>
        <w:t>examining the risks and risk control processes of the scheme and</w:t>
      </w:r>
      <w:r w:rsidR="00407857" w:rsidRPr="00363EC0">
        <w:rPr>
          <w:rFonts w:cs="Arial"/>
          <w:szCs w:val="24"/>
        </w:rPr>
        <w:t xml:space="preserve"> not waiting for the formal ORA</w:t>
      </w:r>
      <w:r w:rsidR="004813B8" w:rsidRPr="00363EC0">
        <w:rPr>
          <w:rFonts w:cs="Arial"/>
          <w:szCs w:val="24"/>
        </w:rPr>
        <w:t xml:space="preserve">.  Similarly, even if they have </w:t>
      </w:r>
      <w:r w:rsidR="004813B8" w:rsidRPr="00363EC0">
        <w:rPr>
          <w:rFonts w:cs="Arial"/>
          <w:szCs w:val="24"/>
        </w:rPr>
        <w:lastRenderedPageBreak/>
        <w:t xml:space="preserve">not yet completed a formal ORA, from 1 January next, the Pensions Authority </w:t>
      </w:r>
      <w:r w:rsidR="00BC62BB" w:rsidRPr="00363EC0">
        <w:rPr>
          <w:rFonts w:cs="Arial"/>
          <w:szCs w:val="24"/>
        </w:rPr>
        <w:t xml:space="preserve">will </w:t>
      </w:r>
      <w:r w:rsidR="004813B8" w:rsidRPr="00363EC0">
        <w:rPr>
          <w:rFonts w:cs="Arial"/>
          <w:szCs w:val="24"/>
        </w:rPr>
        <w:t xml:space="preserve">expect trustees to have a risk function in place and to </w:t>
      </w:r>
      <w:proofErr w:type="gramStart"/>
      <w:r w:rsidR="004813B8" w:rsidRPr="00363EC0">
        <w:rPr>
          <w:rFonts w:cs="Arial"/>
          <w:szCs w:val="24"/>
        </w:rPr>
        <w:t xml:space="preserve">have an </w:t>
      </w:r>
      <w:r w:rsidR="005F473D" w:rsidRPr="00363EC0">
        <w:rPr>
          <w:rFonts w:cs="Arial"/>
          <w:szCs w:val="24"/>
        </w:rPr>
        <w:t>understanding</w:t>
      </w:r>
      <w:r w:rsidR="004813B8" w:rsidRPr="00363EC0">
        <w:rPr>
          <w:rFonts w:cs="Arial"/>
          <w:szCs w:val="24"/>
        </w:rPr>
        <w:t xml:space="preserve"> of</w:t>
      </w:r>
      <w:proofErr w:type="gramEnd"/>
      <w:r w:rsidR="004813B8" w:rsidRPr="00363EC0">
        <w:rPr>
          <w:rFonts w:cs="Arial"/>
          <w:szCs w:val="24"/>
        </w:rPr>
        <w:t xml:space="preserve"> the risk position of their scheme.</w:t>
      </w:r>
      <w:r w:rsidR="00F279AF" w:rsidRPr="00363EC0">
        <w:rPr>
          <w:rFonts w:cs="Arial"/>
          <w:szCs w:val="24"/>
        </w:rPr>
        <w:t xml:space="preserve">  And in due course, we will want to see that the results of the ORA have been incorporated into the strategic decisions of the trustees.</w:t>
      </w:r>
    </w:p>
    <w:p w14:paraId="0BC7A382" w14:textId="16891D01" w:rsidR="00DC2411" w:rsidRPr="00363EC0" w:rsidRDefault="004813B8" w:rsidP="0099746F">
      <w:pPr>
        <w:pStyle w:val="L1"/>
        <w:rPr>
          <w:rFonts w:cs="Arial"/>
          <w:szCs w:val="24"/>
        </w:rPr>
      </w:pPr>
      <w:r w:rsidRPr="00363EC0">
        <w:rPr>
          <w:rFonts w:cs="Arial"/>
          <w:szCs w:val="24"/>
        </w:rPr>
        <w:sym w:font="Wingdings" w:char="F0A7"/>
      </w:r>
      <w:r w:rsidRPr="00363EC0">
        <w:rPr>
          <w:rFonts w:cs="Arial"/>
          <w:szCs w:val="24"/>
        </w:rPr>
        <w:tab/>
      </w:r>
      <w:r w:rsidR="005F473D" w:rsidRPr="00363EC0">
        <w:rPr>
          <w:rFonts w:cs="Arial"/>
          <w:szCs w:val="24"/>
        </w:rPr>
        <w:t xml:space="preserve">Given </w:t>
      </w:r>
      <w:r w:rsidRPr="00363EC0">
        <w:rPr>
          <w:rFonts w:cs="Arial"/>
          <w:szCs w:val="24"/>
        </w:rPr>
        <w:t xml:space="preserve">the importance of risk for pension schemes, the Pensions Authority intends to hold a risk </w:t>
      </w:r>
      <w:r w:rsidR="00DC2411" w:rsidRPr="00363EC0">
        <w:rPr>
          <w:rFonts w:cs="Arial"/>
          <w:szCs w:val="24"/>
        </w:rPr>
        <w:t>conference</w:t>
      </w:r>
      <w:r w:rsidRPr="00363EC0">
        <w:rPr>
          <w:rFonts w:cs="Arial"/>
          <w:szCs w:val="24"/>
        </w:rPr>
        <w:t xml:space="preserve"> in the first half of 2023.</w:t>
      </w:r>
    </w:p>
    <w:p w14:paraId="6B13D100" w14:textId="5E4F2314" w:rsidR="00DC2411" w:rsidRPr="00363EC0" w:rsidRDefault="005F473D" w:rsidP="0099746F">
      <w:pPr>
        <w:pStyle w:val="L1"/>
        <w:rPr>
          <w:rFonts w:cs="Arial"/>
          <w:szCs w:val="24"/>
        </w:rPr>
      </w:pPr>
      <w:r w:rsidRPr="00363EC0">
        <w:rPr>
          <w:rFonts w:cs="Arial"/>
          <w:szCs w:val="24"/>
        </w:rPr>
        <w:sym w:font="Wingdings" w:char="F0A7"/>
      </w:r>
      <w:r w:rsidRPr="00363EC0">
        <w:rPr>
          <w:rFonts w:cs="Arial"/>
          <w:szCs w:val="24"/>
        </w:rPr>
        <w:tab/>
        <w:t>There is no question but that the risk responsibilities are demanding</w:t>
      </w:r>
      <w:r w:rsidR="007B7283" w:rsidRPr="00363EC0">
        <w:rPr>
          <w:rFonts w:cs="Arial"/>
          <w:szCs w:val="24"/>
        </w:rPr>
        <w:t>, and they are by no means the only new tasks for trustees</w:t>
      </w:r>
      <w:r w:rsidRPr="00363EC0">
        <w:rPr>
          <w:rFonts w:cs="Arial"/>
          <w:szCs w:val="24"/>
        </w:rPr>
        <w:t xml:space="preserve">.  </w:t>
      </w:r>
      <w:proofErr w:type="gramStart"/>
      <w:r w:rsidRPr="00363EC0">
        <w:rPr>
          <w:rFonts w:cs="Arial"/>
          <w:szCs w:val="24"/>
        </w:rPr>
        <w:t>In particular, DC</w:t>
      </w:r>
      <w:proofErr w:type="gramEnd"/>
      <w:r w:rsidRPr="00363EC0">
        <w:rPr>
          <w:rFonts w:cs="Arial"/>
          <w:szCs w:val="24"/>
        </w:rPr>
        <w:t xml:space="preserve"> schemes should consider whether they have the resources and can meet these responsibilities in a </w:t>
      </w:r>
      <w:proofErr w:type="gramStart"/>
      <w:r w:rsidRPr="00363EC0">
        <w:rPr>
          <w:rFonts w:cs="Arial"/>
          <w:szCs w:val="24"/>
        </w:rPr>
        <w:t>cost effective</w:t>
      </w:r>
      <w:proofErr w:type="gramEnd"/>
      <w:r w:rsidRPr="00363EC0">
        <w:rPr>
          <w:rFonts w:cs="Arial"/>
          <w:szCs w:val="24"/>
        </w:rPr>
        <w:t xml:space="preserve"> way.</w:t>
      </w:r>
      <w:r w:rsidR="00682465" w:rsidRPr="00363EC0">
        <w:rPr>
          <w:rFonts w:cs="Arial"/>
          <w:szCs w:val="24"/>
        </w:rPr>
        <w:t xml:space="preserve">  We in the Pensions Authority believe that considerable consolidation is necessary in Irish DC pensions, not least because of the need to ensure value for money for members.</w:t>
      </w:r>
    </w:p>
    <w:p w14:paraId="1827F49D" w14:textId="6BC79D2B" w:rsidR="00407857" w:rsidRPr="00363EC0" w:rsidRDefault="00407857" w:rsidP="0099746F">
      <w:pPr>
        <w:pStyle w:val="L1"/>
        <w:rPr>
          <w:rFonts w:cs="Arial"/>
          <w:b/>
          <w:bCs/>
          <w:i/>
          <w:iCs/>
          <w:szCs w:val="24"/>
        </w:rPr>
      </w:pPr>
      <w:r w:rsidRPr="00363EC0">
        <w:rPr>
          <w:rFonts w:cs="Arial"/>
          <w:b/>
          <w:bCs/>
          <w:i/>
          <w:iCs/>
          <w:szCs w:val="24"/>
        </w:rPr>
        <w:t>L</w:t>
      </w:r>
      <w:r w:rsidR="00363EC0">
        <w:rPr>
          <w:rFonts w:cs="Arial"/>
          <w:b/>
          <w:bCs/>
          <w:i/>
          <w:iCs/>
          <w:szCs w:val="24"/>
        </w:rPr>
        <w:t>iability driven investment</w:t>
      </w:r>
    </w:p>
    <w:p w14:paraId="5A317BB8" w14:textId="4121A8BC" w:rsidR="00407857" w:rsidRPr="00363EC0" w:rsidRDefault="00F711CF" w:rsidP="0099746F">
      <w:pPr>
        <w:pStyle w:val="L1"/>
        <w:rPr>
          <w:rFonts w:cs="Arial"/>
          <w:szCs w:val="24"/>
        </w:rPr>
      </w:pPr>
      <w:r w:rsidRPr="00363EC0">
        <w:rPr>
          <w:rFonts w:cs="Arial"/>
          <w:szCs w:val="24"/>
        </w:rPr>
        <w:sym w:font="Wingdings" w:char="F0A7"/>
      </w:r>
      <w:r w:rsidRPr="00363EC0">
        <w:rPr>
          <w:rFonts w:cs="Arial"/>
          <w:szCs w:val="24"/>
        </w:rPr>
        <w:tab/>
        <w:t xml:space="preserve">As you would expect, the </w:t>
      </w:r>
      <w:r w:rsidR="00407857" w:rsidRPr="00363EC0">
        <w:rPr>
          <w:rFonts w:cs="Arial"/>
          <w:szCs w:val="24"/>
        </w:rPr>
        <w:t>P</w:t>
      </w:r>
      <w:r w:rsidRPr="00363EC0">
        <w:rPr>
          <w:rFonts w:cs="Arial"/>
          <w:szCs w:val="24"/>
        </w:rPr>
        <w:t xml:space="preserve">ensions </w:t>
      </w:r>
      <w:r w:rsidR="00407857" w:rsidRPr="00363EC0">
        <w:rPr>
          <w:rFonts w:cs="Arial"/>
          <w:szCs w:val="24"/>
        </w:rPr>
        <w:t>A</w:t>
      </w:r>
      <w:r w:rsidRPr="00363EC0">
        <w:rPr>
          <w:rFonts w:cs="Arial"/>
          <w:szCs w:val="24"/>
        </w:rPr>
        <w:t>uthority</w:t>
      </w:r>
      <w:r w:rsidR="00407857" w:rsidRPr="00363EC0">
        <w:rPr>
          <w:rFonts w:cs="Arial"/>
          <w:szCs w:val="24"/>
        </w:rPr>
        <w:t xml:space="preserve"> has been monitoring </w:t>
      </w:r>
      <w:r w:rsidRPr="00363EC0">
        <w:rPr>
          <w:rFonts w:cs="Arial"/>
          <w:szCs w:val="24"/>
        </w:rPr>
        <w:t>carefully the issues that have arisen</w:t>
      </w:r>
      <w:r w:rsidR="00710AAB" w:rsidRPr="00363EC0">
        <w:rPr>
          <w:rFonts w:cs="Arial"/>
          <w:szCs w:val="24"/>
        </w:rPr>
        <w:t xml:space="preserve"> with liability driven investment in</w:t>
      </w:r>
      <w:r w:rsidRPr="00363EC0">
        <w:rPr>
          <w:rFonts w:cs="Arial"/>
          <w:szCs w:val="24"/>
        </w:rPr>
        <w:t xml:space="preserve"> the </w:t>
      </w:r>
      <w:r w:rsidR="00407857" w:rsidRPr="00363EC0">
        <w:rPr>
          <w:rFonts w:cs="Arial"/>
          <w:szCs w:val="24"/>
        </w:rPr>
        <w:t>UK.</w:t>
      </w:r>
    </w:p>
    <w:p w14:paraId="37641CCF" w14:textId="74EAEAE1" w:rsidR="00407857" w:rsidRPr="00363EC0" w:rsidRDefault="00710AAB" w:rsidP="0099746F">
      <w:pPr>
        <w:pStyle w:val="L1"/>
        <w:rPr>
          <w:rFonts w:cs="Arial"/>
          <w:szCs w:val="24"/>
        </w:rPr>
      </w:pPr>
      <w:r w:rsidRPr="00363EC0">
        <w:rPr>
          <w:rFonts w:cs="Arial"/>
          <w:szCs w:val="24"/>
        </w:rPr>
        <w:sym w:font="Wingdings" w:char="F0A7"/>
      </w:r>
      <w:r w:rsidRPr="00363EC0">
        <w:rPr>
          <w:rFonts w:cs="Arial"/>
          <w:szCs w:val="24"/>
        </w:rPr>
        <w:tab/>
      </w:r>
      <w:r w:rsidR="00407857" w:rsidRPr="00363EC0">
        <w:rPr>
          <w:rFonts w:cs="Arial"/>
          <w:szCs w:val="24"/>
        </w:rPr>
        <w:t>Our cautious view is that the</w:t>
      </w:r>
      <w:r w:rsidRPr="00363EC0">
        <w:rPr>
          <w:rFonts w:cs="Arial"/>
          <w:szCs w:val="24"/>
        </w:rPr>
        <w:t xml:space="preserve">re are </w:t>
      </w:r>
      <w:proofErr w:type="gramStart"/>
      <w:r w:rsidRPr="00363EC0">
        <w:rPr>
          <w:rFonts w:cs="Arial"/>
          <w:szCs w:val="24"/>
        </w:rPr>
        <w:t>a number of</w:t>
      </w:r>
      <w:proofErr w:type="gramEnd"/>
      <w:r w:rsidRPr="00363EC0">
        <w:rPr>
          <w:rFonts w:cs="Arial"/>
          <w:szCs w:val="24"/>
        </w:rPr>
        <w:t xml:space="preserve"> reasons why such a s</w:t>
      </w:r>
      <w:r w:rsidR="00407857" w:rsidRPr="00363EC0">
        <w:rPr>
          <w:rFonts w:cs="Arial"/>
          <w:szCs w:val="24"/>
        </w:rPr>
        <w:t xml:space="preserve">ituation </w:t>
      </w:r>
      <w:r w:rsidRPr="00363EC0">
        <w:rPr>
          <w:rFonts w:cs="Arial"/>
          <w:szCs w:val="24"/>
        </w:rPr>
        <w:t>is less likely to arise</w:t>
      </w:r>
      <w:r w:rsidR="00407857" w:rsidRPr="00363EC0">
        <w:rPr>
          <w:rFonts w:cs="Arial"/>
          <w:szCs w:val="24"/>
        </w:rPr>
        <w:t xml:space="preserve"> in Ireland</w:t>
      </w:r>
      <w:r w:rsidRPr="00363EC0">
        <w:rPr>
          <w:rFonts w:cs="Arial"/>
          <w:szCs w:val="24"/>
        </w:rPr>
        <w:t xml:space="preserve"> and if it did, why it would have less impact.  However, </w:t>
      </w:r>
      <w:r w:rsidR="00407857" w:rsidRPr="00363EC0">
        <w:rPr>
          <w:rFonts w:cs="Arial"/>
          <w:szCs w:val="24"/>
        </w:rPr>
        <w:t>we are not complacent.</w:t>
      </w:r>
    </w:p>
    <w:p w14:paraId="448FB0A3" w14:textId="66C02B32" w:rsidR="00407857" w:rsidRPr="00363EC0" w:rsidRDefault="0050533A" w:rsidP="0099746F">
      <w:pPr>
        <w:pStyle w:val="L1"/>
        <w:rPr>
          <w:rFonts w:cs="Arial"/>
          <w:szCs w:val="24"/>
        </w:rPr>
      </w:pPr>
      <w:r w:rsidRPr="00363EC0">
        <w:rPr>
          <w:rFonts w:cs="Arial"/>
          <w:szCs w:val="24"/>
        </w:rPr>
        <w:sym w:font="Wingdings" w:char="F0A7"/>
      </w:r>
      <w:r w:rsidRPr="00363EC0">
        <w:rPr>
          <w:rFonts w:cs="Arial"/>
          <w:szCs w:val="24"/>
        </w:rPr>
        <w:tab/>
        <w:t xml:space="preserve">Proportionately speaking, </w:t>
      </w:r>
      <w:r w:rsidR="00407857" w:rsidRPr="00363EC0">
        <w:rPr>
          <w:rFonts w:cs="Arial"/>
          <w:szCs w:val="24"/>
        </w:rPr>
        <w:t>LDI i</w:t>
      </w:r>
      <w:r w:rsidRPr="00363EC0">
        <w:rPr>
          <w:rFonts w:cs="Arial"/>
          <w:szCs w:val="24"/>
        </w:rPr>
        <w:t>s much less commo</w:t>
      </w:r>
      <w:r w:rsidR="00407857" w:rsidRPr="00363EC0">
        <w:rPr>
          <w:rFonts w:cs="Arial"/>
          <w:szCs w:val="24"/>
        </w:rPr>
        <w:t xml:space="preserve">n </w:t>
      </w:r>
      <w:r w:rsidRPr="00363EC0">
        <w:rPr>
          <w:rFonts w:cs="Arial"/>
          <w:szCs w:val="24"/>
        </w:rPr>
        <w:t xml:space="preserve">in </w:t>
      </w:r>
      <w:r w:rsidR="00407857" w:rsidRPr="00363EC0">
        <w:rPr>
          <w:rFonts w:cs="Arial"/>
          <w:szCs w:val="24"/>
        </w:rPr>
        <w:t>Ireland than in the UK</w:t>
      </w:r>
      <w:r w:rsidRPr="00363EC0">
        <w:rPr>
          <w:rFonts w:cs="Arial"/>
          <w:szCs w:val="24"/>
        </w:rPr>
        <w:t>.  Nonetheless</w:t>
      </w:r>
      <w:r w:rsidR="00407857" w:rsidRPr="00363EC0">
        <w:rPr>
          <w:rFonts w:cs="Arial"/>
          <w:szCs w:val="24"/>
        </w:rPr>
        <w:t>, there is a significant amount.</w:t>
      </w:r>
      <w:r w:rsidR="002C362A" w:rsidRPr="00363EC0">
        <w:rPr>
          <w:rFonts w:cs="Arial"/>
          <w:szCs w:val="24"/>
        </w:rPr>
        <w:t xml:space="preserve">  </w:t>
      </w:r>
      <w:r w:rsidR="00BC62BB" w:rsidRPr="00363EC0">
        <w:rPr>
          <w:rFonts w:cs="Arial"/>
          <w:szCs w:val="24"/>
        </w:rPr>
        <w:tab/>
      </w:r>
      <w:r w:rsidR="00407857" w:rsidRPr="00363EC0">
        <w:rPr>
          <w:rFonts w:cs="Arial"/>
          <w:szCs w:val="24"/>
        </w:rPr>
        <w:t xml:space="preserve">In coming </w:t>
      </w:r>
      <w:proofErr w:type="gramStart"/>
      <w:r w:rsidR="00407857" w:rsidRPr="00363EC0">
        <w:rPr>
          <w:rFonts w:cs="Arial"/>
          <w:szCs w:val="24"/>
        </w:rPr>
        <w:t>weeks</w:t>
      </w:r>
      <w:proofErr w:type="gramEnd"/>
      <w:r w:rsidR="00407857" w:rsidRPr="00363EC0">
        <w:rPr>
          <w:rFonts w:cs="Arial"/>
          <w:szCs w:val="24"/>
        </w:rPr>
        <w:t xml:space="preserve"> we will be </w:t>
      </w:r>
      <w:proofErr w:type="gramStart"/>
      <w:r w:rsidRPr="00363EC0">
        <w:rPr>
          <w:rFonts w:cs="Arial"/>
          <w:szCs w:val="24"/>
        </w:rPr>
        <w:t>making contact with</w:t>
      </w:r>
      <w:proofErr w:type="gramEnd"/>
      <w:r w:rsidRPr="00363EC0">
        <w:rPr>
          <w:rFonts w:cs="Arial"/>
          <w:szCs w:val="24"/>
        </w:rPr>
        <w:t xml:space="preserve"> the trustees of the largest defined benefit schemes </w:t>
      </w:r>
      <w:proofErr w:type="gramStart"/>
      <w:r w:rsidRPr="00363EC0">
        <w:rPr>
          <w:rFonts w:cs="Arial"/>
          <w:szCs w:val="24"/>
        </w:rPr>
        <w:t>in order to</w:t>
      </w:r>
      <w:proofErr w:type="gramEnd"/>
      <w:r w:rsidRPr="00363EC0">
        <w:rPr>
          <w:rFonts w:cs="Arial"/>
          <w:szCs w:val="24"/>
        </w:rPr>
        <w:t xml:space="preserve"> get more granular information about the extent of LDI and </w:t>
      </w:r>
      <w:r w:rsidR="00407857" w:rsidRPr="00363EC0">
        <w:rPr>
          <w:rFonts w:cs="Arial"/>
          <w:szCs w:val="24"/>
        </w:rPr>
        <w:t xml:space="preserve">to deepen our understanding of </w:t>
      </w:r>
      <w:r w:rsidRPr="00363EC0">
        <w:rPr>
          <w:rFonts w:cs="Arial"/>
          <w:szCs w:val="24"/>
        </w:rPr>
        <w:t xml:space="preserve">LDI structures and </w:t>
      </w:r>
      <w:r w:rsidR="00407857" w:rsidRPr="00363EC0">
        <w:rPr>
          <w:rFonts w:cs="Arial"/>
          <w:szCs w:val="24"/>
        </w:rPr>
        <w:t>practices in Ireland, conscious that there may be significant differences between schemes.</w:t>
      </w:r>
    </w:p>
    <w:p w14:paraId="5778310F" w14:textId="1A0D3CEC" w:rsidR="00407857" w:rsidRPr="00363EC0" w:rsidRDefault="0050533A" w:rsidP="0099746F">
      <w:pPr>
        <w:pStyle w:val="L1"/>
        <w:rPr>
          <w:rFonts w:cs="Arial"/>
          <w:szCs w:val="24"/>
        </w:rPr>
      </w:pPr>
      <w:r w:rsidRPr="00363EC0">
        <w:rPr>
          <w:rFonts w:cs="Arial"/>
          <w:szCs w:val="24"/>
        </w:rPr>
        <w:sym w:font="Wingdings" w:char="F0A7"/>
      </w:r>
      <w:r w:rsidRPr="00363EC0">
        <w:rPr>
          <w:rFonts w:cs="Arial"/>
          <w:szCs w:val="24"/>
        </w:rPr>
        <w:tab/>
        <w:t xml:space="preserve">This </w:t>
      </w:r>
      <w:r w:rsidR="00060176" w:rsidRPr="00363EC0">
        <w:rPr>
          <w:rFonts w:cs="Arial"/>
          <w:szCs w:val="24"/>
        </w:rPr>
        <w:t xml:space="preserve">work by the Pensions Authority must not distract from the fact that it </w:t>
      </w:r>
      <w:r w:rsidR="00407857" w:rsidRPr="00363EC0">
        <w:rPr>
          <w:rFonts w:cs="Arial"/>
          <w:szCs w:val="24"/>
        </w:rPr>
        <w:t xml:space="preserve">is of course the responsibility of the trustees to make investment decisions and to understand the functioning of their portfolio and </w:t>
      </w:r>
      <w:r w:rsidR="00682465" w:rsidRPr="00363EC0">
        <w:rPr>
          <w:rFonts w:cs="Arial"/>
          <w:szCs w:val="24"/>
        </w:rPr>
        <w:t xml:space="preserve">the </w:t>
      </w:r>
      <w:r w:rsidR="00407857" w:rsidRPr="00363EC0">
        <w:rPr>
          <w:rFonts w:cs="Arial"/>
          <w:szCs w:val="24"/>
        </w:rPr>
        <w:t>risks that arise.</w:t>
      </w:r>
      <w:r w:rsidR="00060176" w:rsidRPr="00363EC0">
        <w:rPr>
          <w:rFonts w:cs="Arial"/>
          <w:szCs w:val="24"/>
        </w:rPr>
        <w:t xml:space="preserve"> </w:t>
      </w:r>
      <w:r w:rsidR="00407857" w:rsidRPr="00363EC0">
        <w:rPr>
          <w:rFonts w:cs="Arial"/>
          <w:szCs w:val="24"/>
        </w:rPr>
        <w:t xml:space="preserve"> We expect trustees of all Irish schemes with LDI to be </w:t>
      </w:r>
      <w:r w:rsidR="00060176" w:rsidRPr="00363EC0">
        <w:rPr>
          <w:rFonts w:cs="Arial"/>
          <w:szCs w:val="24"/>
        </w:rPr>
        <w:t>looking to see whether there are any lessons to be learned from the recent UK events</w:t>
      </w:r>
      <w:r w:rsidR="00407857" w:rsidRPr="00363EC0">
        <w:rPr>
          <w:rFonts w:cs="Arial"/>
          <w:szCs w:val="24"/>
        </w:rPr>
        <w:t xml:space="preserve"> particularly but not limited to liquidity.</w:t>
      </w:r>
    </w:p>
    <w:p w14:paraId="2DAAA59A" w14:textId="77777777" w:rsidR="00BC62BB" w:rsidRPr="00363EC0" w:rsidRDefault="002C362A" w:rsidP="0099746F">
      <w:pPr>
        <w:pStyle w:val="L1"/>
        <w:rPr>
          <w:rFonts w:cs="Arial"/>
          <w:szCs w:val="24"/>
        </w:rPr>
      </w:pPr>
      <w:r w:rsidRPr="00363EC0">
        <w:rPr>
          <w:rFonts w:cs="Arial"/>
          <w:szCs w:val="24"/>
        </w:rPr>
        <w:sym w:font="Wingdings" w:char="F0A7"/>
      </w:r>
      <w:r w:rsidRPr="00363EC0">
        <w:rPr>
          <w:rFonts w:cs="Arial"/>
          <w:szCs w:val="24"/>
        </w:rPr>
        <w:tab/>
        <w:t>The Pensions Authority is</w:t>
      </w:r>
      <w:r w:rsidR="00407857" w:rsidRPr="00363EC0">
        <w:rPr>
          <w:rFonts w:cs="Arial"/>
          <w:szCs w:val="24"/>
        </w:rPr>
        <w:t xml:space="preserve"> </w:t>
      </w:r>
      <w:proofErr w:type="gramStart"/>
      <w:r w:rsidRPr="00363EC0">
        <w:rPr>
          <w:rFonts w:cs="Arial"/>
          <w:szCs w:val="24"/>
        </w:rPr>
        <w:t xml:space="preserve">definitely </w:t>
      </w:r>
      <w:r w:rsidR="00407857" w:rsidRPr="00363EC0">
        <w:rPr>
          <w:rFonts w:cs="Arial"/>
          <w:szCs w:val="24"/>
        </w:rPr>
        <w:t>not</w:t>
      </w:r>
      <w:proofErr w:type="gramEnd"/>
      <w:r w:rsidR="00407857" w:rsidRPr="00363EC0">
        <w:rPr>
          <w:rFonts w:cs="Arial"/>
          <w:szCs w:val="24"/>
        </w:rPr>
        <w:t xml:space="preserve"> against LDI</w:t>
      </w:r>
      <w:r w:rsidR="0050533A" w:rsidRPr="00363EC0">
        <w:rPr>
          <w:rFonts w:cs="Arial"/>
          <w:szCs w:val="24"/>
        </w:rPr>
        <w:t xml:space="preserve">.  </w:t>
      </w:r>
    </w:p>
    <w:p w14:paraId="3AD7123F" w14:textId="53CF5E22" w:rsidR="00456F2A" w:rsidRPr="00363EC0" w:rsidRDefault="00BC62BB" w:rsidP="0099746F">
      <w:pPr>
        <w:pStyle w:val="L1"/>
        <w:rPr>
          <w:rFonts w:cs="Arial"/>
          <w:szCs w:val="24"/>
        </w:rPr>
      </w:pPr>
      <w:r w:rsidRPr="00363EC0">
        <w:rPr>
          <w:rFonts w:cs="Arial"/>
          <w:szCs w:val="24"/>
        </w:rPr>
        <w:tab/>
      </w:r>
      <w:r w:rsidR="00594ABC" w:rsidRPr="00363EC0">
        <w:rPr>
          <w:rFonts w:cs="Arial"/>
          <w:szCs w:val="24"/>
        </w:rPr>
        <w:t xml:space="preserve">The objective of LDI is to identify the scheme liabilities and cashflows, identify the risks to them and minimise as many as possible of those risks.  This approach cannot be criticised.  </w:t>
      </w:r>
      <w:r w:rsidR="00456F2A" w:rsidRPr="00363EC0">
        <w:rPr>
          <w:rFonts w:cs="Arial"/>
          <w:szCs w:val="24"/>
        </w:rPr>
        <w:t xml:space="preserve">Our concerns are about the implementation of </w:t>
      </w:r>
      <w:r w:rsidR="00594ABC" w:rsidRPr="00363EC0">
        <w:rPr>
          <w:rFonts w:cs="Arial"/>
          <w:szCs w:val="24"/>
        </w:rPr>
        <w:t>LDI</w:t>
      </w:r>
      <w:r w:rsidR="00456F2A" w:rsidRPr="00363EC0">
        <w:rPr>
          <w:rFonts w:cs="Arial"/>
          <w:szCs w:val="24"/>
        </w:rPr>
        <w:t xml:space="preserve"> and at present specifically relate to liquidity, gearing and trustee understanding and decision making.</w:t>
      </w:r>
    </w:p>
    <w:p w14:paraId="773A2EA6" w14:textId="77777777" w:rsidR="00407857" w:rsidRPr="00363EC0" w:rsidRDefault="00407857" w:rsidP="0099746F">
      <w:pPr>
        <w:pStyle w:val="L1"/>
        <w:rPr>
          <w:rFonts w:cs="Arial"/>
          <w:b/>
          <w:bCs/>
          <w:i/>
          <w:iCs/>
          <w:szCs w:val="24"/>
        </w:rPr>
      </w:pPr>
      <w:r w:rsidRPr="00363EC0">
        <w:rPr>
          <w:rFonts w:cs="Arial"/>
          <w:b/>
          <w:bCs/>
          <w:i/>
          <w:iCs/>
          <w:szCs w:val="24"/>
        </w:rPr>
        <w:t>ESG</w:t>
      </w:r>
    </w:p>
    <w:p w14:paraId="79A44C86" w14:textId="555B2920" w:rsidR="00407857" w:rsidRPr="00363EC0" w:rsidRDefault="006A436C" w:rsidP="0099746F">
      <w:pPr>
        <w:pStyle w:val="L1"/>
        <w:rPr>
          <w:rFonts w:cs="Arial"/>
          <w:szCs w:val="24"/>
        </w:rPr>
      </w:pPr>
      <w:r w:rsidRPr="00363EC0">
        <w:rPr>
          <w:rFonts w:cs="Arial"/>
          <w:szCs w:val="24"/>
        </w:rPr>
        <w:sym w:font="Wingdings" w:char="F0A7"/>
      </w:r>
      <w:r w:rsidRPr="00363EC0">
        <w:rPr>
          <w:rFonts w:cs="Arial"/>
          <w:szCs w:val="24"/>
        </w:rPr>
        <w:tab/>
        <w:t>I think that it is fair to say that in recent months, there is</w:t>
      </w:r>
      <w:r w:rsidR="00407857" w:rsidRPr="00363EC0">
        <w:rPr>
          <w:rFonts w:cs="Arial"/>
          <w:szCs w:val="24"/>
        </w:rPr>
        <w:t xml:space="preserve"> </w:t>
      </w:r>
      <w:r w:rsidRPr="00363EC0">
        <w:rPr>
          <w:rFonts w:cs="Arial"/>
          <w:szCs w:val="24"/>
        </w:rPr>
        <w:t>a growing</w:t>
      </w:r>
      <w:r w:rsidR="00407857" w:rsidRPr="00363EC0">
        <w:rPr>
          <w:rFonts w:cs="Arial"/>
          <w:szCs w:val="24"/>
        </w:rPr>
        <w:t xml:space="preserve"> awareness that ESG is neither as straightforward nor as objective a </w:t>
      </w:r>
      <w:r w:rsidR="00407857" w:rsidRPr="00363EC0">
        <w:rPr>
          <w:rFonts w:cs="Arial"/>
          <w:szCs w:val="24"/>
        </w:rPr>
        <w:lastRenderedPageBreak/>
        <w:t>process as would have been a common view a couple of years ago</w:t>
      </w:r>
      <w:r w:rsidRPr="00363EC0">
        <w:rPr>
          <w:rFonts w:cs="Arial"/>
          <w:szCs w:val="24"/>
        </w:rPr>
        <w:t xml:space="preserve">. </w:t>
      </w:r>
      <w:r w:rsidR="00407857" w:rsidRPr="00363EC0">
        <w:rPr>
          <w:rFonts w:cs="Arial"/>
          <w:szCs w:val="24"/>
        </w:rPr>
        <w:t xml:space="preserve"> </w:t>
      </w:r>
      <w:r w:rsidR="00BC62BB" w:rsidRPr="00363EC0">
        <w:rPr>
          <w:rFonts w:cs="Arial"/>
          <w:szCs w:val="24"/>
        </w:rPr>
        <w:tab/>
      </w:r>
      <w:r w:rsidR="00407857" w:rsidRPr="00363EC0">
        <w:rPr>
          <w:rFonts w:cs="Arial"/>
          <w:szCs w:val="24"/>
        </w:rPr>
        <w:t>But this doesn’t mean it is less important.</w:t>
      </w:r>
    </w:p>
    <w:p w14:paraId="2F189C21" w14:textId="519CCA62" w:rsidR="00407857" w:rsidRPr="00363EC0" w:rsidRDefault="006A436C" w:rsidP="0099746F">
      <w:pPr>
        <w:pStyle w:val="L1"/>
        <w:rPr>
          <w:rFonts w:cs="Arial"/>
          <w:szCs w:val="24"/>
        </w:rPr>
      </w:pPr>
      <w:r w:rsidRPr="00363EC0">
        <w:rPr>
          <w:rFonts w:cs="Arial"/>
          <w:szCs w:val="24"/>
        </w:rPr>
        <w:sym w:font="Wingdings" w:char="F0A7"/>
      </w:r>
      <w:r w:rsidRPr="00363EC0">
        <w:rPr>
          <w:rFonts w:cs="Arial"/>
          <w:szCs w:val="24"/>
        </w:rPr>
        <w:tab/>
        <w:t xml:space="preserve">We </w:t>
      </w:r>
      <w:proofErr w:type="gramStart"/>
      <w:r w:rsidRPr="00363EC0">
        <w:rPr>
          <w:rFonts w:cs="Arial"/>
          <w:szCs w:val="24"/>
        </w:rPr>
        <w:t>have to</w:t>
      </w:r>
      <w:proofErr w:type="gramEnd"/>
      <w:r w:rsidRPr="00363EC0">
        <w:rPr>
          <w:rFonts w:cs="Arial"/>
          <w:szCs w:val="24"/>
        </w:rPr>
        <w:t xml:space="preserve"> recognise that as </w:t>
      </w:r>
      <w:r w:rsidR="00407857" w:rsidRPr="00363EC0">
        <w:rPr>
          <w:rFonts w:cs="Arial"/>
          <w:szCs w:val="24"/>
        </w:rPr>
        <w:t xml:space="preserve">a small country, Ireland is never going to be a </w:t>
      </w:r>
      <w:r w:rsidRPr="00363EC0">
        <w:rPr>
          <w:rFonts w:cs="Arial"/>
          <w:szCs w:val="24"/>
        </w:rPr>
        <w:t>standard setter</w:t>
      </w:r>
      <w:r w:rsidR="00407857" w:rsidRPr="00363EC0">
        <w:rPr>
          <w:rFonts w:cs="Arial"/>
          <w:szCs w:val="24"/>
        </w:rPr>
        <w:t xml:space="preserve"> in ESG</w:t>
      </w:r>
      <w:r w:rsidRPr="00363EC0">
        <w:rPr>
          <w:rFonts w:cs="Arial"/>
          <w:szCs w:val="24"/>
        </w:rPr>
        <w:t xml:space="preserve">.  </w:t>
      </w:r>
      <w:proofErr w:type="gramStart"/>
      <w:r w:rsidRPr="00363EC0">
        <w:rPr>
          <w:rFonts w:cs="Arial"/>
          <w:szCs w:val="24"/>
        </w:rPr>
        <w:t>In</w:t>
      </w:r>
      <w:r w:rsidR="00407857" w:rsidRPr="00363EC0">
        <w:rPr>
          <w:rFonts w:cs="Arial"/>
          <w:szCs w:val="24"/>
        </w:rPr>
        <w:t xml:space="preserve"> order to</w:t>
      </w:r>
      <w:proofErr w:type="gramEnd"/>
      <w:r w:rsidR="00407857" w:rsidRPr="00363EC0">
        <w:rPr>
          <w:rFonts w:cs="Arial"/>
          <w:szCs w:val="24"/>
        </w:rPr>
        <w:t xml:space="preserve"> implement </w:t>
      </w:r>
      <w:r w:rsidRPr="00363EC0">
        <w:rPr>
          <w:rFonts w:cs="Arial"/>
          <w:szCs w:val="24"/>
        </w:rPr>
        <w:t>ESG</w:t>
      </w:r>
      <w:r w:rsidR="00407857" w:rsidRPr="00363EC0">
        <w:rPr>
          <w:rFonts w:cs="Arial"/>
          <w:szCs w:val="24"/>
        </w:rPr>
        <w:t xml:space="preserve"> in pensions, we depend </w:t>
      </w:r>
      <w:proofErr w:type="gramStart"/>
      <w:r w:rsidR="00407857" w:rsidRPr="00363EC0">
        <w:rPr>
          <w:rFonts w:cs="Arial"/>
          <w:szCs w:val="24"/>
        </w:rPr>
        <w:t>to a large extent</w:t>
      </w:r>
      <w:proofErr w:type="gramEnd"/>
      <w:r w:rsidR="00407857" w:rsidRPr="00363EC0">
        <w:rPr>
          <w:rFonts w:cs="Arial"/>
          <w:szCs w:val="24"/>
        </w:rPr>
        <w:t xml:space="preserve"> on external actors to set definitions and to provide the necessary data.</w:t>
      </w:r>
      <w:r w:rsidRPr="00363EC0">
        <w:rPr>
          <w:rFonts w:cs="Arial"/>
          <w:szCs w:val="24"/>
        </w:rPr>
        <w:t xml:space="preserve"> </w:t>
      </w:r>
      <w:r w:rsidR="00407857" w:rsidRPr="00363EC0">
        <w:rPr>
          <w:rFonts w:cs="Arial"/>
          <w:szCs w:val="24"/>
        </w:rPr>
        <w:t xml:space="preserve"> This is still </w:t>
      </w:r>
      <w:r w:rsidR="00C20C35" w:rsidRPr="00363EC0">
        <w:rPr>
          <w:rFonts w:cs="Arial"/>
          <w:szCs w:val="24"/>
        </w:rPr>
        <w:t>a developing space</w:t>
      </w:r>
      <w:r w:rsidR="00407857" w:rsidRPr="00363EC0">
        <w:rPr>
          <w:rFonts w:cs="Arial"/>
          <w:szCs w:val="24"/>
        </w:rPr>
        <w:t>.</w:t>
      </w:r>
    </w:p>
    <w:p w14:paraId="5E2A63BF" w14:textId="151026F8" w:rsidR="00407857" w:rsidRPr="00363EC0" w:rsidRDefault="003C3C0F" w:rsidP="0099746F">
      <w:pPr>
        <w:pStyle w:val="L1"/>
        <w:rPr>
          <w:rFonts w:cs="Arial"/>
          <w:szCs w:val="24"/>
        </w:rPr>
      </w:pPr>
      <w:r w:rsidRPr="00363EC0">
        <w:rPr>
          <w:rFonts w:cs="Arial"/>
          <w:szCs w:val="24"/>
        </w:rPr>
        <w:sym w:font="Wingdings" w:char="F0A7"/>
      </w:r>
      <w:r w:rsidRPr="00363EC0">
        <w:rPr>
          <w:rFonts w:cs="Arial"/>
          <w:szCs w:val="24"/>
        </w:rPr>
        <w:tab/>
        <w:t xml:space="preserve">It also makes sense that as a small country we have consistency in our approach to ESG standards.  </w:t>
      </w:r>
      <w:r w:rsidR="00407857" w:rsidRPr="00363EC0">
        <w:rPr>
          <w:rFonts w:cs="Arial"/>
          <w:szCs w:val="24"/>
        </w:rPr>
        <w:t xml:space="preserve">We are consulting with our colleagues in </w:t>
      </w:r>
      <w:r w:rsidRPr="00363EC0">
        <w:rPr>
          <w:rFonts w:cs="Arial"/>
          <w:szCs w:val="24"/>
        </w:rPr>
        <w:t xml:space="preserve">the </w:t>
      </w:r>
      <w:r w:rsidR="00407857" w:rsidRPr="00363EC0">
        <w:rPr>
          <w:rFonts w:cs="Arial"/>
          <w:szCs w:val="24"/>
        </w:rPr>
        <w:t>C</w:t>
      </w:r>
      <w:r w:rsidRPr="00363EC0">
        <w:rPr>
          <w:rFonts w:cs="Arial"/>
          <w:szCs w:val="24"/>
        </w:rPr>
        <w:t xml:space="preserve">entral </w:t>
      </w:r>
      <w:r w:rsidR="00407857" w:rsidRPr="00363EC0">
        <w:rPr>
          <w:rFonts w:cs="Arial"/>
          <w:szCs w:val="24"/>
        </w:rPr>
        <w:t>B</w:t>
      </w:r>
      <w:r w:rsidRPr="00363EC0">
        <w:rPr>
          <w:rFonts w:cs="Arial"/>
          <w:szCs w:val="24"/>
        </w:rPr>
        <w:t xml:space="preserve">ank and in the </w:t>
      </w:r>
      <w:r w:rsidR="00407857" w:rsidRPr="00363EC0">
        <w:rPr>
          <w:rFonts w:cs="Arial"/>
          <w:szCs w:val="24"/>
        </w:rPr>
        <w:t>D</w:t>
      </w:r>
      <w:r w:rsidRPr="00363EC0">
        <w:rPr>
          <w:rFonts w:cs="Arial"/>
          <w:szCs w:val="24"/>
        </w:rPr>
        <w:t xml:space="preserve">epartment </w:t>
      </w:r>
      <w:r w:rsidR="00407857" w:rsidRPr="00363EC0">
        <w:rPr>
          <w:rFonts w:cs="Arial"/>
          <w:szCs w:val="24"/>
        </w:rPr>
        <w:t>o</w:t>
      </w:r>
      <w:r w:rsidRPr="00363EC0">
        <w:rPr>
          <w:rFonts w:cs="Arial"/>
          <w:szCs w:val="24"/>
        </w:rPr>
        <w:t xml:space="preserve">f </w:t>
      </w:r>
      <w:r w:rsidR="00407857" w:rsidRPr="00363EC0">
        <w:rPr>
          <w:rFonts w:cs="Arial"/>
          <w:szCs w:val="24"/>
        </w:rPr>
        <w:t>F</w:t>
      </w:r>
      <w:r w:rsidRPr="00363EC0">
        <w:rPr>
          <w:rFonts w:cs="Arial"/>
          <w:szCs w:val="24"/>
        </w:rPr>
        <w:t>inance</w:t>
      </w:r>
      <w:r w:rsidR="005F473D" w:rsidRPr="00363EC0">
        <w:rPr>
          <w:rFonts w:cs="Arial"/>
          <w:szCs w:val="24"/>
        </w:rPr>
        <w:t>, to make sure that our approach for pensions is consistent with other sectors</w:t>
      </w:r>
      <w:r w:rsidR="00407857" w:rsidRPr="00363EC0">
        <w:rPr>
          <w:rFonts w:cs="Arial"/>
          <w:szCs w:val="24"/>
        </w:rPr>
        <w:t>.</w:t>
      </w:r>
    </w:p>
    <w:p w14:paraId="1B417459" w14:textId="42A845DB" w:rsidR="00407857" w:rsidRPr="00363EC0" w:rsidRDefault="003C3C0F" w:rsidP="0099746F">
      <w:pPr>
        <w:pStyle w:val="L1"/>
        <w:rPr>
          <w:rFonts w:cs="Arial"/>
          <w:szCs w:val="24"/>
        </w:rPr>
      </w:pPr>
      <w:r w:rsidRPr="00363EC0">
        <w:rPr>
          <w:rFonts w:cs="Arial"/>
          <w:szCs w:val="24"/>
        </w:rPr>
        <w:sym w:font="Wingdings" w:char="F0A7"/>
      </w:r>
      <w:r w:rsidRPr="00363EC0">
        <w:rPr>
          <w:rFonts w:cs="Arial"/>
          <w:szCs w:val="24"/>
        </w:rPr>
        <w:tab/>
        <w:t xml:space="preserve">We in the Pensions Authority are aware that guidance for pensions trustees about how to meet their ESG obligations would be welcome.  However, </w:t>
      </w:r>
      <w:r w:rsidR="005E03CB" w:rsidRPr="00363EC0">
        <w:rPr>
          <w:rFonts w:cs="Arial"/>
          <w:szCs w:val="24"/>
        </w:rPr>
        <w:t xml:space="preserve">because of ongoing international developments and because of other demands on the Authority’s resources, we are not planning to issue any such guidance </w:t>
      </w:r>
      <w:r w:rsidR="00C20C35" w:rsidRPr="00363EC0">
        <w:rPr>
          <w:rFonts w:cs="Arial"/>
          <w:szCs w:val="24"/>
        </w:rPr>
        <w:t xml:space="preserve">before the end of </w:t>
      </w:r>
      <w:r w:rsidR="005E03CB" w:rsidRPr="00363EC0">
        <w:rPr>
          <w:rFonts w:cs="Arial"/>
          <w:szCs w:val="24"/>
        </w:rPr>
        <w:t>2023 at the earliest.  In the meantime, trustees should use their best efforts to comply with the relevant provisions of legislation and regulation.</w:t>
      </w:r>
    </w:p>
    <w:p w14:paraId="1DBF31EE" w14:textId="5872E770" w:rsidR="0099746F" w:rsidRPr="00363EC0" w:rsidRDefault="005F473D" w:rsidP="0099746F">
      <w:pPr>
        <w:pStyle w:val="L1"/>
        <w:rPr>
          <w:rFonts w:cs="Arial"/>
          <w:b/>
          <w:bCs/>
          <w:i/>
          <w:iCs/>
          <w:szCs w:val="24"/>
        </w:rPr>
      </w:pPr>
      <w:r w:rsidRPr="00363EC0">
        <w:rPr>
          <w:rFonts w:cs="Arial"/>
          <w:b/>
          <w:bCs/>
          <w:i/>
          <w:iCs/>
          <w:szCs w:val="24"/>
        </w:rPr>
        <w:t>Conclusion</w:t>
      </w:r>
    </w:p>
    <w:p w14:paraId="583C90F0" w14:textId="78C8E9CF" w:rsidR="005F473D" w:rsidRPr="00363EC0" w:rsidRDefault="005F473D" w:rsidP="0099746F">
      <w:pPr>
        <w:pStyle w:val="L1"/>
        <w:rPr>
          <w:rFonts w:cs="Arial"/>
          <w:szCs w:val="24"/>
        </w:rPr>
      </w:pPr>
      <w:r w:rsidRPr="00363EC0">
        <w:rPr>
          <w:rFonts w:cs="Arial"/>
          <w:szCs w:val="24"/>
        </w:rPr>
        <w:sym w:font="Wingdings" w:char="F0A7"/>
      </w:r>
      <w:r w:rsidRPr="00363EC0">
        <w:rPr>
          <w:rFonts w:cs="Arial"/>
          <w:szCs w:val="24"/>
        </w:rPr>
        <w:tab/>
        <w:t>As I said, we are in a time of very significant change</w:t>
      </w:r>
      <w:r w:rsidR="00C20C35" w:rsidRPr="00363EC0">
        <w:rPr>
          <w:rFonts w:cs="Arial"/>
          <w:szCs w:val="24"/>
        </w:rPr>
        <w:t xml:space="preserve"> in the pensions landscape</w:t>
      </w:r>
      <w:r w:rsidRPr="00363EC0">
        <w:rPr>
          <w:rFonts w:cs="Arial"/>
          <w:szCs w:val="24"/>
        </w:rPr>
        <w:t>.  The objective of these changes is to improve the outcomes for members</w:t>
      </w:r>
      <w:r w:rsidR="00C20C35" w:rsidRPr="00363EC0">
        <w:rPr>
          <w:rFonts w:cs="Arial"/>
          <w:szCs w:val="24"/>
        </w:rPr>
        <w:t xml:space="preserve">.  </w:t>
      </w:r>
      <w:r w:rsidR="00BC62BB" w:rsidRPr="00363EC0">
        <w:rPr>
          <w:rFonts w:cs="Arial"/>
          <w:szCs w:val="24"/>
        </w:rPr>
        <w:tab/>
      </w:r>
      <w:r w:rsidR="00F279AF" w:rsidRPr="00363EC0">
        <w:rPr>
          <w:rFonts w:cs="Arial"/>
          <w:szCs w:val="24"/>
        </w:rPr>
        <w:t>Members of</w:t>
      </w:r>
      <w:r w:rsidRPr="00363EC0">
        <w:rPr>
          <w:rFonts w:cs="Arial"/>
          <w:szCs w:val="24"/>
        </w:rPr>
        <w:t xml:space="preserve"> pension schemes, whether DB or DC, </w:t>
      </w:r>
      <w:r w:rsidR="00F279AF" w:rsidRPr="00363EC0">
        <w:rPr>
          <w:rFonts w:cs="Arial"/>
          <w:szCs w:val="24"/>
        </w:rPr>
        <w:t>are entitled to the same standards of governance and financial management as they would receive anywhere else.</w:t>
      </w:r>
    </w:p>
    <w:p w14:paraId="429108A5" w14:textId="77777777" w:rsidR="00363EC0" w:rsidRDefault="00CE53F8" w:rsidP="0099746F">
      <w:pPr>
        <w:pStyle w:val="L1"/>
        <w:rPr>
          <w:rFonts w:cs="Arial"/>
          <w:szCs w:val="24"/>
        </w:rPr>
      </w:pPr>
      <w:r w:rsidRPr="00363EC0">
        <w:rPr>
          <w:rFonts w:cs="Arial"/>
          <w:szCs w:val="24"/>
        </w:rPr>
        <w:sym w:font="Wingdings" w:char="F0A7"/>
      </w:r>
      <w:r w:rsidRPr="00363EC0">
        <w:rPr>
          <w:rFonts w:cs="Arial"/>
          <w:szCs w:val="24"/>
        </w:rPr>
        <w:tab/>
        <w:t xml:space="preserve">It is not our job in the Pensions Authority to tell trustees where to invest their members’ funds.  However, investment is one of the most </w:t>
      </w:r>
      <w:r w:rsidR="006E7960" w:rsidRPr="00363EC0">
        <w:rPr>
          <w:rFonts w:cs="Arial"/>
          <w:szCs w:val="24"/>
        </w:rPr>
        <w:t>important</w:t>
      </w:r>
      <w:r w:rsidRPr="00363EC0">
        <w:rPr>
          <w:rFonts w:cs="Arial"/>
          <w:szCs w:val="24"/>
        </w:rPr>
        <w:t xml:space="preserve"> and challenging responsibilities of scheme trustees and it must be undertaken in a structured, objective and informed way.  </w:t>
      </w:r>
      <w:r w:rsidR="006E7960" w:rsidRPr="00363EC0">
        <w:rPr>
          <w:rFonts w:cs="Arial"/>
          <w:szCs w:val="24"/>
        </w:rPr>
        <w:t xml:space="preserve">Furthermore, it will be trustees and not their advisers or investment managers who will be expected to explain their investment approach and the decisions that they have taken.  </w:t>
      </w:r>
    </w:p>
    <w:p w14:paraId="4B258A14" w14:textId="4D2A84F4" w:rsidR="005F473D" w:rsidRPr="00363EC0" w:rsidRDefault="00363EC0" w:rsidP="0099746F">
      <w:pPr>
        <w:pStyle w:val="L1"/>
        <w:rPr>
          <w:rFonts w:cs="Arial"/>
          <w:szCs w:val="24"/>
        </w:rPr>
      </w:pPr>
      <w:r w:rsidRPr="00363EC0">
        <w:rPr>
          <w:rFonts w:cs="Arial"/>
          <w:szCs w:val="24"/>
        </w:rPr>
        <w:sym w:font="Wingdings" w:char="F0A7"/>
      </w:r>
      <w:r w:rsidRPr="00363EC0">
        <w:rPr>
          <w:rFonts w:cs="Arial"/>
          <w:szCs w:val="24"/>
        </w:rPr>
        <w:tab/>
      </w:r>
      <w:r w:rsidR="00CE53F8" w:rsidRPr="00363EC0">
        <w:rPr>
          <w:rFonts w:cs="Arial"/>
          <w:szCs w:val="24"/>
        </w:rPr>
        <w:t xml:space="preserve">This process </w:t>
      </w:r>
      <w:r w:rsidR="00F279AF" w:rsidRPr="00363EC0">
        <w:rPr>
          <w:rFonts w:cs="Arial"/>
          <w:szCs w:val="24"/>
        </w:rPr>
        <w:t xml:space="preserve">and indeed all trustee responsibilities </w:t>
      </w:r>
      <w:r w:rsidR="00CE53F8" w:rsidRPr="00363EC0">
        <w:rPr>
          <w:rFonts w:cs="Arial"/>
          <w:szCs w:val="24"/>
        </w:rPr>
        <w:t>can be time-consuming and demanding</w:t>
      </w:r>
      <w:r w:rsidR="00F279AF" w:rsidRPr="00363EC0">
        <w:rPr>
          <w:rFonts w:cs="Arial"/>
          <w:szCs w:val="24"/>
        </w:rPr>
        <w:t>.  But</w:t>
      </w:r>
      <w:r w:rsidR="00CE53F8" w:rsidRPr="00363EC0">
        <w:rPr>
          <w:rFonts w:cs="Arial"/>
          <w:szCs w:val="24"/>
        </w:rPr>
        <w:t xml:space="preserve"> it is what members are entitled to expect.</w:t>
      </w:r>
    </w:p>
    <w:sectPr w:rsidR="005F473D" w:rsidRPr="00363EC0" w:rsidSect="007D4FD7">
      <w:headerReference w:type="default" r:id="rId8"/>
      <w:pgSz w:w="11907" w:h="16839"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2DF0" w14:textId="77777777" w:rsidR="00AA37E5" w:rsidRDefault="00AA37E5" w:rsidP="00123B50">
      <w:r>
        <w:separator/>
      </w:r>
    </w:p>
  </w:endnote>
  <w:endnote w:type="continuationSeparator" w:id="0">
    <w:p w14:paraId="0F6649B7" w14:textId="77777777" w:rsidR="00AA37E5" w:rsidRDefault="00AA37E5" w:rsidP="0012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DB1A" w14:textId="77777777" w:rsidR="00AA37E5" w:rsidRDefault="00AA37E5" w:rsidP="00123B50">
      <w:r>
        <w:separator/>
      </w:r>
    </w:p>
  </w:footnote>
  <w:footnote w:type="continuationSeparator" w:id="0">
    <w:p w14:paraId="3C10AD84" w14:textId="77777777" w:rsidR="00AA37E5" w:rsidRDefault="00AA37E5" w:rsidP="00123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7B35" w14:textId="5D60D1F9" w:rsidR="00AA37E5" w:rsidRDefault="00192751" w:rsidP="00192751">
    <w:pPr>
      <w:pStyle w:val="Header"/>
      <w:jc w:val="center"/>
    </w:pPr>
    <w:r>
      <w:rPr>
        <w:noProof/>
      </w:rPr>
      <w:drawing>
        <wp:anchor distT="0" distB="0" distL="114300" distR="114300" simplePos="0" relativeHeight="251659264" behindDoc="0" locked="0" layoutInCell="1" allowOverlap="1" wp14:anchorId="6664320B" wp14:editId="6BC7ACA4">
          <wp:simplePos x="0" y="0"/>
          <wp:positionH relativeFrom="column">
            <wp:posOffset>1649186</wp:posOffset>
          </wp:positionH>
          <wp:positionV relativeFrom="paragraph">
            <wp:posOffset>-163105</wp:posOffset>
          </wp:positionV>
          <wp:extent cx="1560830" cy="487680"/>
          <wp:effectExtent l="0" t="0" r="1270" b="7620"/>
          <wp:wrapSquare wrapText="bothSides"/>
          <wp:docPr id="4" name="Picture 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4876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456D6"/>
    <w:multiLevelType w:val="hybridMultilevel"/>
    <w:tmpl w:val="26F4B8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CAF3DD2"/>
    <w:multiLevelType w:val="hybridMultilevel"/>
    <w:tmpl w:val="C31C8A0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4D7C4CE3"/>
    <w:multiLevelType w:val="hybridMultilevel"/>
    <w:tmpl w:val="C49E71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47172B2"/>
    <w:multiLevelType w:val="hybridMultilevel"/>
    <w:tmpl w:val="E89AFC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273561406">
    <w:abstractNumId w:val="1"/>
  </w:num>
  <w:num w:numId="2" w16cid:durableId="1044211507">
    <w:abstractNumId w:val="2"/>
  </w:num>
  <w:num w:numId="3" w16cid:durableId="1261252824">
    <w:abstractNumId w:val="3"/>
  </w:num>
  <w:num w:numId="4" w16cid:durableId="59882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B50"/>
    <w:rsid w:val="000456A1"/>
    <w:rsid w:val="00060176"/>
    <w:rsid w:val="0006138C"/>
    <w:rsid w:val="000B5618"/>
    <w:rsid w:val="000C0541"/>
    <w:rsid w:val="000C3DAE"/>
    <w:rsid w:val="000E2DFC"/>
    <w:rsid w:val="000F52E8"/>
    <w:rsid w:val="00123B50"/>
    <w:rsid w:val="0014024E"/>
    <w:rsid w:val="00157C2B"/>
    <w:rsid w:val="0018667C"/>
    <w:rsid w:val="00192751"/>
    <w:rsid w:val="001A799B"/>
    <w:rsid w:val="001C7B80"/>
    <w:rsid w:val="001E16D4"/>
    <w:rsid w:val="001F031D"/>
    <w:rsid w:val="002440DE"/>
    <w:rsid w:val="00257F6E"/>
    <w:rsid w:val="0028323A"/>
    <w:rsid w:val="00292D28"/>
    <w:rsid w:val="002C362A"/>
    <w:rsid w:val="00317389"/>
    <w:rsid w:val="00363EC0"/>
    <w:rsid w:val="00385FF6"/>
    <w:rsid w:val="003907D1"/>
    <w:rsid w:val="003B747D"/>
    <w:rsid w:val="003C3C0F"/>
    <w:rsid w:val="003D0FA5"/>
    <w:rsid w:val="004067FE"/>
    <w:rsid w:val="00407857"/>
    <w:rsid w:val="00456F2A"/>
    <w:rsid w:val="004647B2"/>
    <w:rsid w:val="004813B8"/>
    <w:rsid w:val="00481D02"/>
    <w:rsid w:val="004A1CB4"/>
    <w:rsid w:val="004B6282"/>
    <w:rsid w:val="004C0442"/>
    <w:rsid w:val="0050533A"/>
    <w:rsid w:val="005607D8"/>
    <w:rsid w:val="00571E9C"/>
    <w:rsid w:val="00594ABC"/>
    <w:rsid w:val="00596DAD"/>
    <w:rsid w:val="005A27C2"/>
    <w:rsid w:val="005E03CB"/>
    <w:rsid w:val="005F473D"/>
    <w:rsid w:val="006574BB"/>
    <w:rsid w:val="006814FD"/>
    <w:rsid w:val="00682465"/>
    <w:rsid w:val="006A436C"/>
    <w:rsid w:val="006E7960"/>
    <w:rsid w:val="00710AAB"/>
    <w:rsid w:val="00727CF5"/>
    <w:rsid w:val="00751AFC"/>
    <w:rsid w:val="00756875"/>
    <w:rsid w:val="00772D94"/>
    <w:rsid w:val="00785AE8"/>
    <w:rsid w:val="007B7283"/>
    <w:rsid w:val="007D4FD7"/>
    <w:rsid w:val="007D71FD"/>
    <w:rsid w:val="007E481B"/>
    <w:rsid w:val="007F6DDA"/>
    <w:rsid w:val="00865883"/>
    <w:rsid w:val="00881DD7"/>
    <w:rsid w:val="00887137"/>
    <w:rsid w:val="00893881"/>
    <w:rsid w:val="008C6C97"/>
    <w:rsid w:val="009716C6"/>
    <w:rsid w:val="00983653"/>
    <w:rsid w:val="0099746F"/>
    <w:rsid w:val="00A113E9"/>
    <w:rsid w:val="00A1651A"/>
    <w:rsid w:val="00A825CF"/>
    <w:rsid w:val="00A82FA0"/>
    <w:rsid w:val="00AA37E5"/>
    <w:rsid w:val="00AD320E"/>
    <w:rsid w:val="00AD6574"/>
    <w:rsid w:val="00B2119D"/>
    <w:rsid w:val="00B30235"/>
    <w:rsid w:val="00B5100C"/>
    <w:rsid w:val="00B6150D"/>
    <w:rsid w:val="00B678B1"/>
    <w:rsid w:val="00BB2EF5"/>
    <w:rsid w:val="00BB6B96"/>
    <w:rsid w:val="00BC62BB"/>
    <w:rsid w:val="00C11014"/>
    <w:rsid w:val="00C131E2"/>
    <w:rsid w:val="00C20C35"/>
    <w:rsid w:val="00C2528C"/>
    <w:rsid w:val="00C56100"/>
    <w:rsid w:val="00CC3AB4"/>
    <w:rsid w:val="00CD6510"/>
    <w:rsid w:val="00CE3F34"/>
    <w:rsid w:val="00CE53F8"/>
    <w:rsid w:val="00CF536B"/>
    <w:rsid w:val="00D41013"/>
    <w:rsid w:val="00D46976"/>
    <w:rsid w:val="00D46E1B"/>
    <w:rsid w:val="00D4763E"/>
    <w:rsid w:val="00D6332C"/>
    <w:rsid w:val="00D76BE2"/>
    <w:rsid w:val="00DB748D"/>
    <w:rsid w:val="00DC2411"/>
    <w:rsid w:val="00E02787"/>
    <w:rsid w:val="00E03909"/>
    <w:rsid w:val="00E12832"/>
    <w:rsid w:val="00E42CED"/>
    <w:rsid w:val="00E474F1"/>
    <w:rsid w:val="00E80CDD"/>
    <w:rsid w:val="00EA0516"/>
    <w:rsid w:val="00F109F4"/>
    <w:rsid w:val="00F279AF"/>
    <w:rsid w:val="00F34644"/>
    <w:rsid w:val="00F471E8"/>
    <w:rsid w:val="00F711CF"/>
    <w:rsid w:val="00F90D2F"/>
    <w:rsid w:val="00FB701C"/>
    <w:rsid w:val="00FC2580"/>
    <w:rsid w:val="00FC3D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DD7D9F5"/>
  <w15:docId w15:val="{F6F8B98A-A9A2-4A5D-B971-5C212822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16D4"/>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qFormat/>
    <w:rsid w:val="006574BB"/>
    <w:pPr>
      <w:spacing w:before="240" w:after="240" w:line="240" w:lineRule="auto"/>
      <w:jc w:val="center"/>
    </w:pPr>
    <w:rPr>
      <w:rFonts w:ascii="Arial" w:eastAsia="Times New Roman" w:hAnsi="Arial" w:cs="Times New Roman"/>
      <w:b/>
      <w:sz w:val="24"/>
      <w:szCs w:val="20"/>
      <w:lang w:val="en-GB" w:eastAsia="en-GB"/>
    </w:rPr>
  </w:style>
  <w:style w:type="paragraph" w:customStyle="1" w:styleId="H2">
    <w:name w:val="H2"/>
    <w:basedOn w:val="H1"/>
    <w:qFormat/>
    <w:rsid w:val="00E03909"/>
    <w:pPr>
      <w:ind w:left="567" w:hanging="567"/>
      <w:jc w:val="left"/>
    </w:pPr>
  </w:style>
  <w:style w:type="paragraph" w:customStyle="1" w:styleId="H3">
    <w:name w:val="H3"/>
    <w:basedOn w:val="H2"/>
    <w:qFormat/>
    <w:rsid w:val="00E03909"/>
    <w:pPr>
      <w:ind w:left="1134"/>
    </w:pPr>
  </w:style>
  <w:style w:type="paragraph" w:customStyle="1" w:styleId="P1">
    <w:name w:val="P1"/>
    <w:basedOn w:val="H3"/>
    <w:qFormat/>
    <w:rsid w:val="00E03909"/>
    <w:pPr>
      <w:spacing w:before="0"/>
      <w:ind w:left="0" w:firstLine="0"/>
      <w:jc w:val="both"/>
    </w:pPr>
    <w:rPr>
      <w:b w:val="0"/>
    </w:rPr>
  </w:style>
  <w:style w:type="paragraph" w:customStyle="1" w:styleId="P2">
    <w:name w:val="P2"/>
    <w:basedOn w:val="P1"/>
    <w:qFormat/>
    <w:rsid w:val="00E03909"/>
    <w:pPr>
      <w:ind w:left="567"/>
    </w:pPr>
  </w:style>
  <w:style w:type="paragraph" w:customStyle="1" w:styleId="P3">
    <w:name w:val="P3"/>
    <w:basedOn w:val="P2"/>
    <w:qFormat/>
    <w:rsid w:val="00E03909"/>
    <w:pPr>
      <w:ind w:left="1134"/>
    </w:pPr>
  </w:style>
  <w:style w:type="paragraph" w:customStyle="1" w:styleId="L1">
    <w:name w:val="L1"/>
    <w:basedOn w:val="P3"/>
    <w:qFormat/>
    <w:rsid w:val="00E03909"/>
    <w:pPr>
      <w:ind w:left="567" w:hanging="567"/>
    </w:pPr>
  </w:style>
  <w:style w:type="paragraph" w:customStyle="1" w:styleId="L2">
    <w:name w:val="L2"/>
    <w:basedOn w:val="L1"/>
    <w:qFormat/>
    <w:rsid w:val="00E03909"/>
    <w:pPr>
      <w:ind w:left="1134"/>
    </w:pPr>
  </w:style>
  <w:style w:type="paragraph" w:customStyle="1" w:styleId="L3">
    <w:name w:val="L3"/>
    <w:basedOn w:val="L2"/>
    <w:qFormat/>
    <w:rsid w:val="00E03909"/>
    <w:pPr>
      <w:ind w:left="1701"/>
    </w:pPr>
  </w:style>
  <w:style w:type="table" w:styleId="TableGrid">
    <w:name w:val="Table Grid"/>
    <w:basedOn w:val="TableNormal"/>
    <w:uiPriority w:val="59"/>
    <w:rsid w:val="00385F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3B50"/>
    <w:rPr>
      <w:sz w:val="20"/>
      <w:szCs w:val="20"/>
    </w:rPr>
  </w:style>
  <w:style w:type="character" w:customStyle="1" w:styleId="FootnoteTextChar">
    <w:name w:val="Footnote Text Char"/>
    <w:basedOn w:val="DefaultParagraphFont"/>
    <w:link w:val="FootnoteText"/>
    <w:uiPriority w:val="99"/>
    <w:semiHidden/>
    <w:rsid w:val="00123B50"/>
    <w:rPr>
      <w:rFonts w:ascii="Calibri" w:hAnsi="Calibri" w:cs="Times New Roman"/>
      <w:sz w:val="20"/>
      <w:szCs w:val="20"/>
      <w:lang w:eastAsia="en-IE"/>
    </w:rPr>
  </w:style>
  <w:style w:type="character" w:styleId="FootnoteReference">
    <w:name w:val="footnote reference"/>
    <w:basedOn w:val="DefaultParagraphFont"/>
    <w:uiPriority w:val="99"/>
    <w:semiHidden/>
    <w:unhideWhenUsed/>
    <w:rsid w:val="00123B50"/>
    <w:rPr>
      <w:vertAlign w:val="superscript"/>
    </w:rPr>
  </w:style>
  <w:style w:type="paragraph" w:styleId="Header">
    <w:name w:val="header"/>
    <w:basedOn w:val="Normal"/>
    <w:link w:val="HeaderChar"/>
    <w:uiPriority w:val="99"/>
    <w:unhideWhenUsed/>
    <w:rsid w:val="001F031D"/>
    <w:pPr>
      <w:tabs>
        <w:tab w:val="center" w:pos="4513"/>
        <w:tab w:val="right" w:pos="9026"/>
      </w:tabs>
    </w:pPr>
  </w:style>
  <w:style w:type="character" w:customStyle="1" w:styleId="HeaderChar">
    <w:name w:val="Header Char"/>
    <w:basedOn w:val="DefaultParagraphFont"/>
    <w:link w:val="Header"/>
    <w:uiPriority w:val="99"/>
    <w:rsid w:val="001F031D"/>
    <w:rPr>
      <w:rFonts w:ascii="Calibri" w:hAnsi="Calibri" w:cs="Times New Roman"/>
      <w:lang w:eastAsia="en-IE"/>
    </w:rPr>
  </w:style>
  <w:style w:type="paragraph" w:styleId="Footer">
    <w:name w:val="footer"/>
    <w:basedOn w:val="Normal"/>
    <w:link w:val="FooterChar"/>
    <w:uiPriority w:val="99"/>
    <w:unhideWhenUsed/>
    <w:rsid w:val="001F031D"/>
    <w:pPr>
      <w:tabs>
        <w:tab w:val="center" w:pos="4513"/>
        <w:tab w:val="right" w:pos="9026"/>
      </w:tabs>
    </w:pPr>
  </w:style>
  <w:style w:type="character" w:customStyle="1" w:styleId="FooterChar">
    <w:name w:val="Footer Char"/>
    <w:basedOn w:val="DefaultParagraphFont"/>
    <w:link w:val="Footer"/>
    <w:uiPriority w:val="99"/>
    <w:rsid w:val="001F031D"/>
    <w:rPr>
      <w:rFonts w:ascii="Calibri" w:hAnsi="Calibri" w:cs="Times New Roman"/>
      <w:lang w:eastAsia="en-IE"/>
    </w:rPr>
  </w:style>
  <w:style w:type="paragraph" w:styleId="ListParagraph">
    <w:name w:val="List Paragraph"/>
    <w:basedOn w:val="Normal"/>
    <w:uiPriority w:val="34"/>
    <w:qFormat/>
    <w:rsid w:val="00B6150D"/>
    <w:pPr>
      <w:ind w:left="720"/>
    </w:pPr>
    <w:rPr>
      <w:rFonts w:cs="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90776">
      <w:bodyDiv w:val="1"/>
      <w:marLeft w:val="0"/>
      <w:marRight w:val="0"/>
      <w:marTop w:val="0"/>
      <w:marBottom w:val="0"/>
      <w:divBdr>
        <w:top w:val="none" w:sz="0" w:space="0" w:color="auto"/>
        <w:left w:val="none" w:sz="0" w:space="0" w:color="auto"/>
        <w:bottom w:val="none" w:sz="0" w:space="0" w:color="auto"/>
        <w:right w:val="none" w:sz="0" w:space="0" w:color="auto"/>
      </w:divBdr>
    </w:div>
    <w:div w:id="985088238">
      <w:bodyDiv w:val="1"/>
      <w:marLeft w:val="0"/>
      <w:marRight w:val="0"/>
      <w:marTop w:val="0"/>
      <w:marBottom w:val="0"/>
      <w:divBdr>
        <w:top w:val="none" w:sz="0" w:space="0" w:color="auto"/>
        <w:left w:val="none" w:sz="0" w:space="0" w:color="auto"/>
        <w:bottom w:val="none" w:sz="0" w:space="0" w:color="auto"/>
        <w:right w:val="none" w:sz="0" w:space="0" w:color="auto"/>
      </w:divBdr>
    </w:div>
    <w:div w:id="1090126270">
      <w:bodyDiv w:val="1"/>
      <w:marLeft w:val="0"/>
      <w:marRight w:val="0"/>
      <w:marTop w:val="0"/>
      <w:marBottom w:val="0"/>
      <w:divBdr>
        <w:top w:val="none" w:sz="0" w:space="0" w:color="auto"/>
        <w:left w:val="none" w:sz="0" w:space="0" w:color="auto"/>
        <w:bottom w:val="none" w:sz="0" w:space="0" w:color="auto"/>
        <w:right w:val="none" w:sz="0" w:space="0" w:color="auto"/>
      </w:divBdr>
    </w:div>
    <w:div w:id="1415936864">
      <w:bodyDiv w:val="1"/>
      <w:marLeft w:val="0"/>
      <w:marRight w:val="0"/>
      <w:marTop w:val="0"/>
      <w:marBottom w:val="0"/>
      <w:divBdr>
        <w:top w:val="none" w:sz="0" w:space="0" w:color="auto"/>
        <w:left w:val="none" w:sz="0" w:space="0" w:color="auto"/>
        <w:bottom w:val="none" w:sz="0" w:space="0" w:color="auto"/>
        <w:right w:val="none" w:sz="0" w:space="0" w:color="auto"/>
      </w:divBdr>
    </w:div>
    <w:div w:id="1437092073">
      <w:bodyDiv w:val="1"/>
      <w:marLeft w:val="0"/>
      <w:marRight w:val="0"/>
      <w:marTop w:val="0"/>
      <w:marBottom w:val="0"/>
      <w:divBdr>
        <w:top w:val="none" w:sz="0" w:space="0" w:color="auto"/>
        <w:left w:val="none" w:sz="0" w:space="0" w:color="auto"/>
        <w:bottom w:val="none" w:sz="0" w:space="0" w:color="auto"/>
        <w:right w:val="none" w:sz="0" w:space="0" w:color="auto"/>
      </w:divBdr>
    </w:div>
    <w:div w:id="208818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46202-ED86-49F2-B5BE-37A413A7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1518</Words>
  <Characters>8656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Brendan Kennedy</dc:creator>
  <cp:lastModifiedBy>Deirdre Brennan (Pensions Authority)</cp:lastModifiedBy>
  <cp:revision>2</cp:revision>
  <cp:lastPrinted>2022-10-24T11:27:00Z</cp:lastPrinted>
  <dcterms:created xsi:type="dcterms:W3CDTF">2025-10-08T07:30:00Z</dcterms:created>
  <dcterms:modified xsi:type="dcterms:W3CDTF">2025-10-08T07:30:00Z</dcterms:modified>
</cp:coreProperties>
</file>