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4"/>
        <w:gridCol w:w="4502"/>
      </w:tblGrid>
      <w:tr w:rsidR="00986B2C" w:rsidRPr="008A7EB9" w14:paraId="6FB89146" w14:textId="77777777" w:rsidTr="000E4403">
        <w:tc>
          <w:tcPr>
            <w:tcW w:w="9006" w:type="dxa"/>
            <w:gridSpan w:val="2"/>
          </w:tcPr>
          <w:p w14:paraId="2534DCC6" w14:textId="77777777" w:rsidR="00986B2C" w:rsidRPr="008A7EB9" w:rsidRDefault="00986B2C" w:rsidP="00BA00A5">
            <w:pPr>
              <w:keepNext/>
              <w:spacing w:line="276" w:lineRule="auto"/>
              <w:outlineLvl w:val="1"/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14:paraId="7806501F" w14:textId="0E9497E3" w:rsidR="00986B2C" w:rsidRDefault="00986B2C" w:rsidP="00BA00A5">
            <w:pPr>
              <w:keepNext/>
              <w:spacing w:line="276" w:lineRule="auto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8A7EB9"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  <w:t>Consultation on</w:t>
            </w:r>
            <w:r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DE08CA"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  <w:t xml:space="preserve">defined benefit </w:t>
            </w:r>
            <w:r w:rsidR="00411B49"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  <w:t>consolidation</w:t>
            </w:r>
            <w:r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253CBE4F" w14:textId="77777777" w:rsidR="00986B2C" w:rsidRPr="008A7EB9" w:rsidRDefault="00986B2C" w:rsidP="00BA00A5">
            <w:pPr>
              <w:keepNext/>
              <w:spacing w:line="276" w:lineRule="auto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8A7EB9">
              <w:rPr>
                <w:rFonts w:ascii="Arial" w:eastAsia="Times New Roman" w:hAnsi="Arial" w:cs="Times New Roman"/>
                <w:b/>
                <w:bCs/>
                <w:iCs/>
                <w:sz w:val="28"/>
                <w:szCs w:val="28"/>
                <w:lang w:val="en-US"/>
              </w:rPr>
              <w:t>Submission form</w:t>
            </w:r>
          </w:p>
          <w:p w14:paraId="265D98B8" w14:textId="77777777" w:rsidR="00986B2C" w:rsidRPr="008A7EB9" w:rsidRDefault="00986B2C" w:rsidP="00BA00A5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986B2C" w:rsidRPr="008A7EB9" w14:paraId="17B6EBAC" w14:textId="77777777" w:rsidTr="00D76315">
        <w:tc>
          <w:tcPr>
            <w:tcW w:w="9006" w:type="dxa"/>
            <w:gridSpan w:val="2"/>
            <w:shd w:val="clear" w:color="auto" w:fill="061072"/>
          </w:tcPr>
          <w:p w14:paraId="16AA20BF" w14:textId="77777777" w:rsidR="00986B2C" w:rsidRPr="008A7EB9" w:rsidRDefault="00986B2C" w:rsidP="00BA00A5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986B2C" w:rsidRPr="008A7EB9" w14:paraId="430D4100" w14:textId="77777777" w:rsidTr="000E4403">
        <w:tc>
          <w:tcPr>
            <w:tcW w:w="9006" w:type="dxa"/>
            <w:gridSpan w:val="2"/>
          </w:tcPr>
          <w:p w14:paraId="5F7BE65F" w14:textId="77777777" w:rsidR="00986B2C" w:rsidRPr="008A7EB9" w:rsidRDefault="00986B2C" w:rsidP="00BA00A5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2F41AFE4" w14:textId="62CA8709" w:rsidR="00986B2C" w:rsidRPr="0034636F" w:rsidRDefault="00986B2C" w:rsidP="00BA00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36F">
              <w:rPr>
                <w:rFonts w:ascii="Arial" w:eastAsia="Calibri" w:hAnsi="Arial" w:cs="Arial"/>
                <w:sz w:val="24"/>
                <w:szCs w:val="24"/>
              </w:rPr>
              <w:t xml:space="preserve">Please use this document to submit your </w:t>
            </w:r>
            <w:r w:rsidR="00411B49">
              <w:rPr>
                <w:rFonts w:ascii="Arial" w:eastAsia="Calibri" w:hAnsi="Arial" w:cs="Arial"/>
                <w:sz w:val="24"/>
                <w:szCs w:val="24"/>
              </w:rPr>
              <w:t>responses to the consultation questions.</w:t>
            </w:r>
          </w:p>
          <w:p w14:paraId="06058E74" w14:textId="77777777" w:rsidR="00986B2C" w:rsidRPr="0034636F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36BCB4" w14:textId="22C22F12" w:rsidR="00986B2C" w:rsidRPr="00411B49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B49">
              <w:rPr>
                <w:rFonts w:ascii="Arial" w:eastAsia="Calibri" w:hAnsi="Arial" w:cs="Arial"/>
                <w:sz w:val="24"/>
                <w:szCs w:val="24"/>
              </w:rPr>
              <w:t xml:space="preserve">Please email your submission by 5pm </w:t>
            </w:r>
            <w:r w:rsidR="005D3DFA">
              <w:rPr>
                <w:rFonts w:ascii="Arial" w:eastAsia="Calibri" w:hAnsi="Arial" w:cs="Arial"/>
                <w:sz w:val="24"/>
                <w:szCs w:val="24"/>
              </w:rPr>
              <w:t>4 July</w:t>
            </w:r>
            <w:r w:rsidR="00411B49" w:rsidRPr="00411B49">
              <w:rPr>
                <w:rFonts w:ascii="Arial" w:eastAsia="Calibri" w:hAnsi="Arial" w:cs="Arial"/>
                <w:sz w:val="24"/>
                <w:szCs w:val="24"/>
              </w:rPr>
              <w:t xml:space="preserve"> 2025</w:t>
            </w:r>
            <w:r w:rsidRPr="00411B49">
              <w:rPr>
                <w:rFonts w:ascii="Arial" w:eastAsia="Calibri" w:hAnsi="Arial" w:cs="Arial"/>
                <w:sz w:val="24"/>
                <w:szCs w:val="24"/>
              </w:rPr>
              <w:t xml:space="preserve"> t</w:t>
            </w:r>
            <w:r w:rsidR="00411B49">
              <w:rPr>
                <w:rFonts w:ascii="Arial" w:eastAsia="Calibri" w:hAnsi="Arial" w:cs="Arial"/>
                <w:sz w:val="24"/>
                <w:szCs w:val="24"/>
              </w:rPr>
              <w:t xml:space="preserve">o: </w:t>
            </w:r>
            <w:hyperlink r:id="rId7" w:history="1">
              <w:r w:rsidR="00411B49" w:rsidRPr="00831B85">
                <w:rPr>
                  <w:rStyle w:val="Hyperlink"/>
                  <w:rFonts w:ascii="Arial" w:hAnsi="Arial" w:cs="Arial"/>
                  <w:sz w:val="24"/>
                  <w:szCs w:val="24"/>
                </w:rPr>
                <w:t>consultation@pensionsauthority.ie</w:t>
              </w:r>
            </w:hyperlink>
            <w:r w:rsidR="00411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F20096" w14:textId="77777777" w:rsidR="00986B2C" w:rsidRPr="008A7EB9" w:rsidRDefault="00986B2C" w:rsidP="00BA00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86B2C" w:rsidRPr="008A7EB9" w14:paraId="4402CCD2" w14:textId="77777777" w:rsidTr="00D76315">
        <w:tc>
          <w:tcPr>
            <w:tcW w:w="9006" w:type="dxa"/>
            <w:gridSpan w:val="2"/>
            <w:shd w:val="clear" w:color="auto" w:fill="061072"/>
          </w:tcPr>
          <w:p w14:paraId="6E8373EA" w14:textId="77777777" w:rsidR="00986B2C" w:rsidRPr="008A7EB9" w:rsidRDefault="00986B2C" w:rsidP="00BA00A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986B2C" w:rsidRPr="008A7EB9" w14:paraId="189E6FBA" w14:textId="77777777" w:rsidTr="000E4403">
        <w:trPr>
          <w:trHeight w:val="454"/>
        </w:trPr>
        <w:tc>
          <w:tcPr>
            <w:tcW w:w="4504" w:type="dxa"/>
            <w:vAlign w:val="center"/>
          </w:tcPr>
          <w:p w14:paraId="3A787506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2A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02" w:type="dxa"/>
            <w:vAlign w:val="center"/>
          </w:tcPr>
          <w:p w14:paraId="3A2E2DC3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B2C" w:rsidRPr="008A7EB9" w14:paraId="2FE830F3" w14:textId="77777777" w:rsidTr="000E4403">
        <w:trPr>
          <w:trHeight w:val="454"/>
        </w:trPr>
        <w:tc>
          <w:tcPr>
            <w:tcW w:w="4504" w:type="dxa"/>
            <w:vAlign w:val="center"/>
          </w:tcPr>
          <w:p w14:paraId="1130FCE7" w14:textId="77777777" w:rsidR="00986B2C" w:rsidRPr="0034636F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463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Organisation (if relevant):</w:t>
            </w:r>
          </w:p>
        </w:tc>
        <w:tc>
          <w:tcPr>
            <w:tcW w:w="4502" w:type="dxa"/>
            <w:vAlign w:val="center"/>
          </w:tcPr>
          <w:p w14:paraId="1F62E497" w14:textId="77777777" w:rsidR="00986B2C" w:rsidRPr="0034636F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B2C" w:rsidRPr="008A7EB9" w14:paraId="5A8F7494" w14:textId="77777777" w:rsidTr="000E4403">
        <w:trPr>
          <w:trHeight w:val="454"/>
        </w:trPr>
        <w:tc>
          <w:tcPr>
            <w:tcW w:w="4504" w:type="dxa"/>
            <w:vAlign w:val="center"/>
          </w:tcPr>
          <w:p w14:paraId="79AAA7AD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2A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Contact email:</w:t>
            </w:r>
          </w:p>
        </w:tc>
        <w:tc>
          <w:tcPr>
            <w:tcW w:w="4502" w:type="dxa"/>
            <w:vAlign w:val="center"/>
          </w:tcPr>
          <w:p w14:paraId="22EF8A0A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B2C" w:rsidRPr="008A7EB9" w14:paraId="74BF5A4E" w14:textId="77777777" w:rsidTr="000E4403">
        <w:trPr>
          <w:trHeight w:val="454"/>
        </w:trPr>
        <w:tc>
          <w:tcPr>
            <w:tcW w:w="4504" w:type="dxa"/>
            <w:vAlign w:val="center"/>
          </w:tcPr>
          <w:p w14:paraId="4C782E87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2A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Contact phone number (optional):</w:t>
            </w:r>
          </w:p>
        </w:tc>
        <w:tc>
          <w:tcPr>
            <w:tcW w:w="4502" w:type="dxa"/>
            <w:vAlign w:val="center"/>
          </w:tcPr>
          <w:p w14:paraId="399DC5F0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B2C" w:rsidRPr="008A7EB9" w14:paraId="335C14B5" w14:textId="77777777" w:rsidTr="00D76315">
        <w:trPr>
          <w:trHeight w:val="239"/>
        </w:trPr>
        <w:tc>
          <w:tcPr>
            <w:tcW w:w="9006" w:type="dxa"/>
            <w:gridSpan w:val="2"/>
            <w:shd w:val="clear" w:color="auto" w:fill="061072"/>
            <w:vAlign w:val="center"/>
          </w:tcPr>
          <w:p w14:paraId="6BF86588" w14:textId="7659246C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B2C" w:rsidRPr="008A7EB9" w14:paraId="20F6CA2B" w14:textId="77777777" w:rsidTr="00D76315">
        <w:trPr>
          <w:trHeight w:val="454"/>
        </w:trPr>
        <w:tc>
          <w:tcPr>
            <w:tcW w:w="9006" w:type="dxa"/>
            <w:gridSpan w:val="2"/>
            <w:shd w:val="clear" w:color="auto" w:fill="061072"/>
            <w:vAlign w:val="center"/>
          </w:tcPr>
          <w:p w14:paraId="6E9338CC" w14:textId="72A3D144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631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1 – </w:t>
            </w:r>
            <w:r w:rsidR="00411B49" w:rsidRPr="00D7631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Model of </w:t>
            </w:r>
            <w:r w:rsidR="00DE08CA" w:rsidRPr="00D7631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defined benefit (</w:t>
            </w:r>
            <w:r w:rsidR="00411B49" w:rsidRPr="00D7631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DB</w:t>
            </w:r>
            <w:r w:rsidR="00DE08CA" w:rsidRPr="00D7631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411B49" w:rsidRPr="00D7631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consolidation</w:t>
            </w:r>
          </w:p>
        </w:tc>
      </w:tr>
      <w:tr w:rsidR="005F1498" w:rsidRPr="008A7EB9" w14:paraId="26E0494C" w14:textId="77777777" w:rsidTr="005F1498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7B813522" w14:textId="612D0B7C" w:rsidR="005F1498" w:rsidRPr="005F1498" w:rsidRDefault="005F1498" w:rsidP="005F14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750F3">
              <w:rPr>
                <w:rFonts w:ascii="Arial" w:hAnsi="Arial" w:cs="Arial"/>
                <w:sz w:val="24"/>
                <w:szCs w:val="24"/>
              </w:rPr>
              <w:t>Please provide views on the above model of DB consolidation.</w:t>
            </w:r>
          </w:p>
        </w:tc>
      </w:tr>
      <w:tr w:rsidR="005F1498" w:rsidRPr="008A7EB9" w14:paraId="676CC327" w14:textId="77777777" w:rsidTr="005F1498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1B60B0D6" w14:textId="77777777" w:rsidR="005F1498" w:rsidRPr="00782ADD" w:rsidRDefault="005F1498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F1498" w:rsidRPr="008A7EB9" w14:paraId="2B7ACB69" w14:textId="77777777" w:rsidTr="00A00FFE">
        <w:trPr>
          <w:trHeight w:val="922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7EA1D82" w14:textId="4DFA7E19" w:rsidR="005F1498" w:rsidRPr="00782ADD" w:rsidRDefault="005F1498" w:rsidP="005F1498">
            <w:pPr>
              <w:spacing w:line="276" w:lineRule="auto"/>
              <w:ind w:left="731" w:hanging="73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Should other consolidation models in operation in other jurisdictions be considered? If so, please provide views on other consolidation models that could be appropriate for DB pensions in Ireland.</w:t>
            </w:r>
          </w:p>
        </w:tc>
      </w:tr>
      <w:tr w:rsidR="00986B2C" w:rsidRPr="008A7EB9" w14:paraId="708AD180" w14:textId="77777777" w:rsidTr="005F1498">
        <w:trPr>
          <w:trHeight w:val="850"/>
        </w:trPr>
        <w:tc>
          <w:tcPr>
            <w:tcW w:w="9006" w:type="dxa"/>
            <w:gridSpan w:val="2"/>
            <w:vAlign w:val="center"/>
          </w:tcPr>
          <w:p w14:paraId="73FDF41C" w14:textId="4E34785E" w:rsidR="00986B2C" w:rsidRPr="00BA00A5" w:rsidRDefault="00986B2C" w:rsidP="00BA00A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04E09B2D" w14:textId="77777777" w:rsidTr="00D76315">
        <w:trPr>
          <w:trHeight w:val="454"/>
        </w:trPr>
        <w:tc>
          <w:tcPr>
            <w:tcW w:w="9006" w:type="dxa"/>
            <w:gridSpan w:val="2"/>
            <w:shd w:val="clear" w:color="auto" w:fill="061072"/>
            <w:vAlign w:val="center"/>
          </w:tcPr>
          <w:p w14:paraId="18941B1B" w14:textId="0EAC5DB7" w:rsidR="00986B2C" w:rsidRPr="00411B49" w:rsidRDefault="00411B49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31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2 – Potential impact of DB consolidation</w:t>
            </w:r>
          </w:p>
        </w:tc>
      </w:tr>
      <w:tr w:rsidR="00DE08CA" w:rsidRPr="008A7EB9" w14:paraId="50E2072D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437DEC60" w14:textId="5EBBF027" w:rsidR="00DE08CA" w:rsidRPr="00A00FFE" w:rsidRDefault="00DE08CA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Q.3   </w:t>
            </w:r>
            <w:r w:rsidR="00872113"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 impact would the introduction of DB consolidation likely have on the wider DB market?</w:t>
            </w:r>
          </w:p>
        </w:tc>
      </w:tr>
      <w:tr w:rsidR="00DE08CA" w:rsidRPr="008A7EB9" w14:paraId="42B482BE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75F13CC0" w14:textId="77777777" w:rsidR="00DE08CA" w:rsidRPr="00747317" w:rsidRDefault="00DE08CA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08CA" w:rsidRPr="008A7EB9" w14:paraId="54531C34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C9251A6" w14:textId="32152540" w:rsidR="00DE08CA" w:rsidRPr="00A00FFE" w:rsidRDefault="00DE08CA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Q.4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 are the potential benefits of DB consolidation? Please explain the potential benefits in relation to different types of members (pensioners, deferred and active) and employers.</w:t>
            </w:r>
          </w:p>
        </w:tc>
      </w:tr>
      <w:tr w:rsidR="00DE08CA" w:rsidRPr="008A7EB9" w14:paraId="105B29B9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787735E2" w14:textId="77777777" w:rsidR="00DE08CA" w:rsidRPr="00747317" w:rsidRDefault="00DE08CA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08CA" w:rsidRPr="008A7EB9" w14:paraId="74B02816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4EFF5A9" w14:textId="5BBDAAFA" w:rsidR="00DE08CA" w:rsidRPr="00A00FFE" w:rsidRDefault="00DE08CA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Q.5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are the potential risks of DB consolidation? Please explain the potential risks in relation to different types of members (pensioners, deferred and active) and employers. </w:t>
            </w:r>
          </w:p>
        </w:tc>
      </w:tr>
      <w:tr w:rsidR="00DE08CA" w:rsidRPr="008A7EB9" w14:paraId="4CC50910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0F4DCBE" w14:textId="77777777" w:rsidR="00DE08CA" w:rsidRDefault="00DE08CA" w:rsidP="00DE08CA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8CA" w:rsidRPr="008A7EB9" w14:paraId="5CF9F88B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A821F5D" w14:textId="165527DE" w:rsidR="00DE08CA" w:rsidRDefault="00DE08CA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Q.6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type of DB schemes would most likely benefit from DB consolidation, and why? </w:t>
            </w:r>
          </w:p>
        </w:tc>
      </w:tr>
      <w:tr w:rsidR="00DE08CA" w:rsidRPr="008A7EB9" w14:paraId="74E88475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B23BBCE" w14:textId="77777777" w:rsidR="00DE08CA" w:rsidRDefault="00DE08CA" w:rsidP="00DE08CA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8CA" w:rsidRPr="008A7EB9" w14:paraId="23336AAE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A178418" w14:textId="0A8C24AF" w:rsidR="00DE08CA" w:rsidRDefault="00DE08CA" w:rsidP="005823DD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Q.7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 type of DB schemes are unlikely to benefit from DB consolidation</w:t>
            </w:r>
            <w:r w:rsidR="005823DD">
              <w:rPr>
                <w:rFonts w:ascii="Arial" w:hAnsi="Arial" w:cs="Arial"/>
                <w:sz w:val="24"/>
                <w:szCs w:val="24"/>
              </w:rPr>
              <w:t>, and   why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DE08CA" w:rsidRPr="008A7EB9" w14:paraId="1F902F8C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CB96623" w14:textId="77777777" w:rsidR="00DE08CA" w:rsidRDefault="00DE08CA" w:rsidP="00DE08CA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8CA" w:rsidRPr="008A7EB9" w14:paraId="05E85A60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10BEE1C7" w14:textId="1B5297DA" w:rsidR="00DE08CA" w:rsidRDefault="00DE08CA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Q.8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barriers would limit access to consolidation for some DB schemes? For example, would small schemes be able to access a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DE08CA" w:rsidRPr="008A7EB9" w14:paraId="3B262152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4D1BB61C" w14:textId="77777777" w:rsidR="00DE08CA" w:rsidRDefault="00DE08CA" w:rsidP="00DE08CA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8CA" w:rsidRPr="008A7EB9" w14:paraId="14A30E24" w14:textId="77777777" w:rsidTr="00DE08CA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324C4E9" w14:textId="4A98467C" w:rsidR="00DE08CA" w:rsidRDefault="00DE08CA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Q.9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 measures could be put in place to help reduce barriers to DB consolidation?</w:t>
            </w:r>
          </w:p>
        </w:tc>
      </w:tr>
      <w:tr w:rsidR="00DE08CA" w:rsidRPr="008A7EB9" w14:paraId="66D7809F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93EBCA3" w14:textId="77777777" w:rsidR="00DE08CA" w:rsidRDefault="00DE08CA" w:rsidP="00DE08CA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2BC2FFEB" w14:textId="77777777" w:rsidTr="00A00FFE">
        <w:trPr>
          <w:trHeight w:val="1273"/>
        </w:trPr>
        <w:tc>
          <w:tcPr>
            <w:tcW w:w="9006" w:type="dxa"/>
            <w:gridSpan w:val="2"/>
            <w:vAlign w:val="center"/>
          </w:tcPr>
          <w:p w14:paraId="195ACD7C" w14:textId="77777777" w:rsidR="00411B49" w:rsidRPr="00747317" w:rsidRDefault="00411B49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Q.10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 measures could help avoid or mitigate the risks associated with the following:</w:t>
            </w:r>
          </w:p>
          <w:p w14:paraId="4B89C20C" w14:textId="7593AAD7" w:rsidR="00411B49" w:rsidRPr="00747317" w:rsidRDefault="00411B49" w:rsidP="00BA00A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317">
              <w:rPr>
                <w:rFonts w:ascii="Arial" w:hAnsi="Arial" w:cs="Arial"/>
                <w:sz w:val="24"/>
                <w:szCs w:val="24"/>
              </w:rPr>
              <w:t>Lack of competition in the DB consolidation market</w:t>
            </w:r>
            <w:r w:rsidR="00A00F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B64D5F" w14:textId="776D2BD1" w:rsidR="00986B2C" w:rsidRPr="00A00FFE" w:rsidRDefault="00411B49" w:rsidP="00BA00A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317">
              <w:rPr>
                <w:rFonts w:ascii="Arial" w:hAnsi="Arial" w:cs="Arial"/>
                <w:sz w:val="24"/>
                <w:szCs w:val="24"/>
              </w:rPr>
              <w:t xml:space="preserve">Failure of one or more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>s</w:t>
            </w:r>
            <w:r w:rsidR="00A00F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08CA" w:rsidRPr="008A7EB9" w14:paraId="571E0F9F" w14:textId="77777777" w:rsidTr="00DE08CA">
        <w:trPr>
          <w:trHeight w:val="850"/>
        </w:trPr>
        <w:tc>
          <w:tcPr>
            <w:tcW w:w="9006" w:type="dxa"/>
            <w:gridSpan w:val="2"/>
            <w:vAlign w:val="center"/>
          </w:tcPr>
          <w:p w14:paraId="2A032E90" w14:textId="77777777" w:rsidR="00DE08CA" w:rsidRDefault="00DE08CA" w:rsidP="00BA00A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2DCDD710" w14:textId="77777777" w:rsidTr="00D76315">
        <w:trPr>
          <w:trHeight w:val="454"/>
        </w:trPr>
        <w:tc>
          <w:tcPr>
            <w:tcW w:w="9006" w:type="dxa"/>
            <w:gridSpan w:val="2"/>
            <w:shd w:val="clear" w:color="auto" w:fill="061072"/>
            <w:vAlign w:val="center"/>
          </w:tcPr>
          <w:p w14:paraId="72E09C01" w14:textId="18B7C44F" w:rsidR="00986B2C" w:rsidRPr="00411B49" w:rsidRDefault="00411B49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3 </w:t>
            </w:r>
            <w:r w:rsidR="00A00FFE" w:rsidRPr="00657F6E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65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Operation of DB consolidation</w:t>
            </w:r>
          </w:p>
        </w:tc>
      </w:tr>
      <w:tr w:rsidR="00A00FFE" w:rsidRPr="008A7EB9" w14:paraId="088BC11D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6DB5D00" w14:textId="1F8198A5" w:rsidR="00A00FFE" w:rsidRP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level of demand do you anticipate for DB consolidation? </w:t>
            </w:r>
            <w:r>
              <w:rPr>
                <w:rFonts w:ascii="Arial" w:hAnsi="Arial" w:cs="Arial"/>
                <w:sz w:val="24"/>
                <w:szCs w:val="24"/>
              </w:rPr>
              <w:t>On what basis is your assessment made, e.g.</w:t>
            </w:r>
            <w:r w:rsidR="008721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 out market research?</w:t>
            </w:r>
          </w:p>
        </w:tc>
      </w:tr>
      <w:tr w:rsidR="00A00FFE" w:rsidRPr="008A7EB9" w14:paraId="17C2F3CB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5B383E82" w14:textId="77777777" w:rsidR="00A00FFE" w:rsidRPr="00747317" w:rsidRDefault="00A00FFE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FFE" w:rsidRPr="008A7EB9" w14:paraId="23832DD9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47019A24" w14:textId="7774AE19" w:rsidR="00A00FFE" w:rsidRP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Q.12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type of eligibility criteria would apply to schemes wishing to join your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 xml:space="preserve">For example, scheme </w:t>
            </w:r>
            <w:r w:rsidRPr="00747317">
              <w:rPr>
                <w:rFonts w:ascii="Arial" w:hAnsi="Arial" w:cs="Arial"/>
                <w:sz w:val="24"/>
                <w:szCs w:val="24"/>
              </w:rPr>
              <w:t>size, fundin</w:t>
            </w:r>
            <w:r>
              <w:rPr>
                <w:rFonts w:ascii="Arial" w:hAnsi="Arial" w:cs="Arial"/>
                <w:sz w:val="24"/>
                <w:szCs w:val="24"/>
              </w:rPr>
              <w:t>g position, etc.</w:t>
            </w:r>
          </w:p>
        </w:tc>
      </w:tr>
      <w:tr w:rsidR="00A00FFE" w:rsidRPr="008A7EB9" w14:paraId="398311C3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73B9C9E3" w14:textId="77777777" w:rsidR="00A00FFE" w:rsidRDefault="00A00FFE" w:rsidP="00A00FFE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FE" w:rsidRPr="008A7EB9" w14:paraId="546CEFE0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0017EDF" w14:textId="5247DB5C" w:rsidR="00A00FFE" w:rsidRP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Q.13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Would benefit structures of the joining scheme be replicated or is some form of restructuring of benefits intended after joining the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00FFE" w:rsidRPr="008A7EB9" w14:paraId="3539C116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8162942" w14:textId="77777777" w:rsidR="00A00FFE" w:rsidRPr="00747317" w:rsidRDefault="00A00FFE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FFE" w:rsidRPr="008A7EB9" w14:paraId="0DCF06B0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4F1080F" w14:textId="744D28E6" w:rsidR="00A00FFE" w:rsidRP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Q.14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How would the DB master trust avail of economies of scale in relation to investments?</w:t>
            </w:r>
          </w:p>
        </w:tc>
      </w:tr>
      <w:tr w:rsidR="00A00FFE" w:rsidRPr="008A7EB9" w14:paraId="49AEA0A5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D53FA1A" w14:textId="77777777" w:rsidR="00A00FFE" w:rsidRPr="00747317" w:rsidRDefault="00A00FFE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FFE" w:rsidRPr="008A7EB9" w14:paraId="775E5397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2014FC7" w14:textId="1498A6F3" w:rsidR="00A00FFE" w:rsidRP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Q.15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How would the ongoing employer costs (such as administration, actuarial, investment management, etc.) of standalone DB schemes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complying with IORP II obligations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compare to employer costs participating in a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ould the potential cost savings vary </w:t>
            </w:r>
            <w:r>
              <w:rPr>
                <w:rFonts w:ascii="Arial" w:hAnsi="Arial" w:cs="Arial"/>
                <w:sz w:val="24"/>
                <w:szCs w:val="24"/>
              </w:rPr>
              <w:t>depending on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joining employer 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scheme size, membership profile, benefit structure?  </w:t>
            </w:r>
          </w:p>
        </w:tc>
      </w:tr>
      <w:tr w:rsidR="00A00FFE" w:rsidRPr="008A7EB9" w14:paraId="6A75681C" w14:textId="77777777" w:rsidTr="00A00FFE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92BA569" w14:textId="77777777" w:rsidR="00A00FFE" w:rsidRPr="00747317" w:rsidRDefault="00A00FFE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FFE" w:rsidRPr="008A7EB9" w14:paraId="7ED0AAFB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597529C7" w14:textId="7E1F82BA" w:rsidR="00A00FFE" w:rsidRPr="00637175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Q.16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 assumptions are these cost</w:t>
            </w:r>
            <w:r>
              <w:rPr>
                <w:rFonts w:ascii="Arial" w:hAnsi="Arial" w:cs="Arial"/>
                <w:sz w:val="24"/>
                <w:szCs w:val="24"/>
              </w:rPr>
              <w:t xml:space="preserve"> savings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based on? (e.g.</w:t>
            </w:r>
            <w:r w:rsidR="00872113">
              <w:rPr>
                <w:rFonts w:ascii="Arial" w:hAnsi="Arial" w:cs="Arial"/>
                <w:sz w:val="24"/>
                <w:szCs w:val="24"/>
              </w:rPr>
              <w:t>,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a certain number of participating employers joining and remaining in the scheme, certain sized schemes joining, etc.) </w:t>
            </w:r>
          </w:p>
        </w:tc>
      </w:tr>
      <w:tr w:rsidR="00A00FFE" w:rsidRPr="008A7EB9" w14:paraId="472A2508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1A04D9F4" w14:textId="77777777" w:rsidR="00A00FFE" w:rsidRDefault="00A00FFE" w:rsidP="00A00FFE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FE" w:rsidRPr="008A7EB9" w14:paraId="45BEF96D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1B8B300C" w14:textId="5081BDA4" w:rsid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Q.17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To what extent are employer cost reductions in a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dependent on certain provisions of the Pensions Act</w:t>
            </w:r>
            <w:r w:rsidR="00637175">
              <w:rPr>
                <w:rFonts w:ascii="Arial" w:hAnsi="Arial" w:cs="Arial"/>
                <w:sz w:val="24"/>
                <w:szCs w:val="24"/>
              </w:rPr>
              <w:t>, 1990, as amended (the Act)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applying at the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level, rather than participating employer scheme level? If these assumptions do not hold, how much impact would this have on employer costs?</w:t>
            </w:r>
          </w:p>
        </w:tc>
      </w:tr>
      <w:tr w:rsidR="00A00FFE" w:rsidRPr="008A7EB9" w14:paraId="39D134BC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51AECBE7" w14:textId="77777777" w:rsidR="00A00FFE" w:rsidRDefault="00A00FFE" w:rsidP="00A00FFE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FE" w:rsidRPr="008A7EB9" w14:paraId="4AE467EA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3D69A26" w14:textId="249457A7" w:rsid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Q.18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upfront costs would be associated with joining a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? Would the participating employer pay all of these costs, or would the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pay a portion? </w:t>
            </w:r>
          </w:p>
        </w:tc>
      </w:tr>
      <w:tr w:rsidR="00A00FFE" w:rsidRPr="008A7EB9" w14:paraId="5D58BD05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5F551021" w14:textId="77777777" w:rsidR="00A00FFE" w:rsidRDefault="00A00FFE" w:rsidP="00A00FFE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FE" w:rsidRPr="008A7EB9" w14:paraId="78F87282" w14:textId="77777777" w:rsidTr="00A00FFE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A28C41E" w14:textId="69F361E1" w:rsidR="00A00FFE" w:rsidRDefault="00A00FFE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Q.19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Please describe the charging structure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you would likely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apply in the DB master trust.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this differ across employers?</w:t>
            </w:r>
          </w:p>
        </w:tc>
      </w:tr>
      <w:tr w:rsidR="00A00FFE" w:rsidRPr="008A7EB9" w14:paraId="3A6CFC66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EA0D089" w14:textId="77777777" w:rsidR="00A00FFE" w:rsidRDefault="00A00FFE" w:rsidP="00A00FFE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0972B2CF" w14:textId="77777777" w:rsidTr="00A00FFE">
        <w:trPr>
          <w:trHeight w:val="582"/>
        </w:trPr>
        <w:tc>
          <w:tcPr>
            <w:tcW w:w="9006" w:type="dxa"/>
            <w:gridSpan w:val="2"/>
            <w:vAlign w:val="center"/>
          </w:tcPr>
          <w:p w14:paraId="669BFE2B" w14:textId="46EEA133" w:rsidR="00986B2C" w:rsidRPr="00782ADD" w:rsidRDefault="00411B49" w:rsidP="00D76315">
            <w:pPr>
              <w:spacing w:line="276" w:lineRule="auto"/>
              <w:ind w:left="720" w:hanging="7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Q.20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How would employer costs be impacted by other participating employers leaving the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0FFE" w:rsidRPr="008A7EB9" w14:paraId="06A92D20" w14:textId="77777777" w:rsidTr="00A00FFE">
        <w:trPr>
          <w:trHeight w:val="850"/>
        </w:trPr>
        <w:tc>
          <w:tcPr>
            <w:tcW w:w="9006" w:type="dxa"/>
            <w:gridSpan w:val="2"/>
            <w:vAlign w:val="center"/>
          </w:tcPr>
          <w:p w14:paraId="04748F46" w14:textId="77777777" w:rsidR="00A00FFE" w:rsidRDefault="00A00FFE" w:rsidP="00BA00A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5B9CF1DE" w14:textId="77777777" w:rsidTr="00D76315">
        <w:trPr>
          <w:trHeight w:val="454"/>
        </w:trPr>
        <w:tc>
          <w:tcPr>
            <w:tcW w:w="9006" w:type="dxa"/>
            <w:gridSpan w:val="2"/>
            <w:shd w:val="clear" w:color="auto" w:fill="061072"/>
            <w:vAlign w:val="center"/>
          </w:tcPr>
          <w:p w14:paraId="104253FE" w14:textId="293A4B08" w:rsidR="00986B2C" w:rsidRPr="00411B49" w:rsidRDefault="00411B49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317">
              <w:rPr>
                <w:rFonts w:ascii="Arial" w:hAnsi="Arial" w:cs="Arial"/>
                <w:b/>
                <w:bCs/>
                <w:sz w:val="24"/>
                <w:szCs w:val="24"/>
              </w:rPr>
              <w:t>Section 4 – Regulation of DB consolidation</w:t>
            </w:r>
          </w:p>
        </w:tc>
      </w:tr>
      <w:tr w:rsidR="00637175" w:rsidRPr="008A7EB9" w14:paraId="1C9F0FCC" w14:textId="77777777" w:rsidTr="00637175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56F1A8B" w14:textId="3D0DEFF8" w:rsidR="00637175" w:rsidRPr="00747317" w:rsidRDefault="00637175" w:rsidP="0063717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Q.21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 provisions of the Act and related </w:t>
            </w:r>
            <w:r w:rsidR="0008154D">
              <w:rPr>
                <w:rFonts w:ascii="Arial" w:hAnsi="Arial" w:cs="Arial"/>
                <w:sz w:val="24"/>
                <w:szCs w:val="24"/>
              </w:rPr>
              <w:t>r</w:t>
            </w:r>
            <w:r w:rsidRPr="00747317">
              <w:rPr>
                <w:rFonts w:ascii="Arial" w:hAnsi="Arial" w:cs="Arial"/>
                <w:sz w:val="24"/>
                <w:szCs w:val="24"/>
              </w:rPr>
              <w:t>egulations should apply:</w:t>
            </w:r>
          </w:p>
          <w:p w14:paraId="125A0510" w14:textId="77777777" w:rsidR="00637175" w:rsidRPr="00747317" w:rsidRDefault="00637175" w:rsidP="0063717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317">
              <w:rPr>
                <w:rFonts w:ascii="Arial" w:hAnsi="Arial" w:cs="Arial"/>
                <w:sz w:val="24"/>
                <w:szCs w:val="24"/>
              </w:rPr>
              <w:t xml:space="preserve">to the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only,</w:t>
            </w:r>
          </w:p>
          <w:p w14:paraId="228103FE" w14:textId="77777777" w:rsidR="00637175" w:rsidRPr="00747317" w:rsidRDefault="00637175" w:rsidP="0063717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317">
              <w:rPr>
                <w:rFonts w:ascii="Arial" w:hAnsi="Arial" w:cs="Arial"/>
                <w:sz w:val="24"/>
                <w:szCs w:val="24"/>
              </w:rPr>
              <w:t xml:space="preserve">to the participating </w:t>
            </w:r>
            <w:r>
              <w:rPr>
                <w:rFonts w:ascii="Arial" w:hAnsi="Arial" w:cs="Arial"/>
                <w:sz w:val="24"/>
                <w:szCs w:val="24"/>
              </w:rPr>
              <w:t>employer section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 only, and</w:t>
            </w:r>
          </w:p>
          <w:p w14:paraId="261C0957" w14:textId="4374C454" w:rsidR="00637175" w:rsidRPr="00637175" w:rsidRDefault="00637175" w:rsidP="00BA00A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317">
              <w:rPr>
                <w:rFonts w:ascii="Arial" w:hAnsi="Arial" w:cs="Arial"/>
                <w:sz w:val="24"/>
                <w:szCs w:val="24"/>
              </w:rPr>
              <w:t xml:space="preserve">to both participating </w:t>
            </w:r>
            <w:r>
              <w:rPr>
                <w:rFonts w:ascii="Arial" w:hAnsi="Arial" w:cs="Arial"/>
                <w:sz w:val="24"/>
                <w:szCs w:val="24"/>
              </w:rPr>
              <w:t xml:space="preserve">employer sections </w:t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and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637175" w:rsidRPr="008A7EB9" w14:paraId="2DC5031E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7E37625A" w14:textId="77777777" w:rsidR="00637175" w:rsidRPr="00747317" w:rsidRDefault="00637175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7175" w:rsidRPr="008A7EB9" w14:paraId="6410129A" w14:textId="77777777" w:rsidTr="00637175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27B0233" w14:textId="18182ADF" w:rsidR="00637175" w:rsidRPr="00637175" w:rsidRDefault="00637175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Q.22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>What, if any, additional statutory obligations should apply to trustees of a DB</w:t>
            </w:r>
            <w:r>
              <w:rPr>
                <w:rFonts w:ascii="Arial" w:hAnsi="Arial" w:cs="Arial"/>
                <w:sz w:val="24"/>
                <w:szCs w:val="24"/>
              </w:rPr>
              <w:t xml:space="preserve"> master trust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637175" w:rsidRPr="008A7EB9" w14:paraId="55C3DF3E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9AFBBC9" w14:textId="77777777" w:rsidR="00637175" w:rsidRPr="00747317" w:rsidRDefault="00637175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7175" w:rsidRPr="008A7EB9" w14:paraId="7F309B93" w14:textId="77777777" w:rsidTr="00637175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E55732F" w14:textId="72316AAD" w:rsidR="00637175" w:rsidRPr="00637175" w:rsidRDefault="00637175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Q.23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47317">
              <w:rPr>
                <w:rFonts w:ascii="Arial" w:hAnsi="Arial" w:cs="Arial"/>
                <w:sz w:val="24"/>
                <w:szCs w:val="24"/>
              </w:rPr>
              <w:t xml:space="preserve">What, if any, regulatory measures could be put in place to help mitigate </w:t>
            </w:r>
            <w:r>
              <w:rPr>
                <w:rFonts w:ascii="Arial" w:hAnsi="Arial" w:cs="Arial"/>
                <w:sz w:val="24"/>
                <w:szCs w:val="24"/>
              </w:rPr>
              <w:t>the risk to the master trust or other participating employers if one or more participating employers’ funding position becomes tenuous</w:t>
            </w:r>
            <w:r w:rsidRPr="007473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637175" w:rsidRPr="008A7EB9" w14:paraId="74FE719E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7D0EC1B" w14:textId="77777777" w:rsidR="00637175" w:rsidRDefault="00637175" w:rsidP="0063717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175" w:rsidRPr="008A7EB9" w14:paraId="4F3021BD" w14:textId="77777777" w:rsidTr="00637175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9A3E25E" w14:textId="6CD65B7E" w:rsidR="00637175" w:rsidRDefault="00637175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Q.24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A serious risk to members would arise if a decision was made to wind up a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 (for commercial reasons for example) and no other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 was in operation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or could take the members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. How should these benefits be dealt with?  </w:t>
            </w:r>
          </w:p>
        </w:tc>
      </w:tr>
      <w:tr w:rsidR="00637175" w:rsidRPr="008A7EB9" w14:paraId="16F165D2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BE04CDB" w14:textId="77777777" w:rsidR="00637175" w:rsidRDefault="00637175" w:rsidP="0063717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175" w:rsidRPr="008A7EB9" w14:paraId="130AECCF" w14:textId="77777777" w:rsidTr="00637175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1C4B971" w14:textId="3F497412" w:rsidR="00637175" w:rsidRDefault="00637175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Q.25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If a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 winds up, how 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F0C">
              <w:rPr>
                <w:rFonts w:ascii="Arial" w:hAnsi="Arial" w:cs="Arial"/>
                <w:sz w:val="24"/>
                <w:szCs w:val="24"/>
              </w:rPr>
              <w:t>s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ection 48 priority order be applied? </w:t>
            </w:r>
          </w:p>
        </w:tc>
      </w:tr>
      <w:tr w:rsidR="00637175" w:rsidRPr="008A7EB9" w14:paraId="4EB2E2D2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114CE9D2" w14:textId="77777777" w:rsidR="00637175" w:rsidRDefault="00637175" w:rsidP="0063717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175" w:rsidRPr="008A7EB9" w14:paraId="6CC993F3" w14:textId="77777777" w:rsidTr="00637175">
        <w:trPr>
          <w:trHeight w:val="45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945909D" w14:textId="481D216F" w:rsidR="00637175" w:rsidRDefault="00637175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Q.26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What, if any, additional reporting requirements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Authority 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>
              <w:rPr>
                <w:rFonts w:ascii="Arial" w:hAnsi="Arial" w:cs="Arial"/>
                <w:sz w:val="24"/>
                <w:szCs w:val="24"/>
              </w:rPr>
              <w:t>apply to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s? </w:t>
            </w:r>
          </w:p>
        </w:tc>
      </w:tr>
      <w:tr w:rsidR="00637175" w:rsidRPr="008A7EB9" w14:paraId="57DBC1B5" w14:textId="77777777" w:rsidTr="00637175">
        <w:trPr>
          <w:trHeight w:val="850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38BA22F4" w14:textId="77777777" w:rsidR="00637175" w:rsidRDefault="00637175" w:rsidP="006371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64068AEA" w14:textId="77777777" w:rsidTr="00637175">
        <w:trPr>
          <w:trHeight w:val="673"/>
        </w:trPr>
        <w:tc>
          <w:tcPr>
            <w:tcW w:w="9006" w:type="dxa"/>
            <w:gridSpan w:val="2"/>
            <w:vAlign w:val="center"/>
          </w:tcPr>
          <w:p w14:paraId="2F1216EF" w14:textId="1DDA2249" w:rsidR="00986B2C" w:rsidRPr="00637175" w:rsidRDefault="00C408DF" w:rsidP="00D76315">
            <w:pPr>
              <w:spacing w:line="276" w:lineRule="auto"/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Q.27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What notifiable events should be reported to the Authority by a DB </w:t>
            </w:r>
            <w:r>
              <w:rPr>
                <w:rFonts w:ascii="Arial" w:hAnsi="Arial" w:cs="Arial"/>
                <w:sz w:val="24"/>
                <w:szCs w:val="24"/>
              </w:rPr>
              <w:t>master trust</w:t>
            </w:r>
            <w:r w:rsidRPr="00E750F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637175" w:rsidRPr="008A7EB9" w14:paraId="67ED837C" w14:textId="77777777" w:rsidTr="00637175">
        <w:trPr>
          <w:trHeight w:val="850"/>
        </w:trPr>
        <w:tc>
          <w:tcPr>
            <w:tcW w:w="9006" w:type="dxa"/>
            <w:gridSpan w:val="2"/>
            <w:vAlign w:val="center"/>
          </w:tcPr>
          <w:p w14:paraId="266E1377" w14:textId="77777777" w:rsidR="00637175" w:rsidRDefault="00637175" w:rsidP="00BA00A5">
            <w:pPr>
              <w:spacing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2C" w:rsidRPr="008A7EB9" w14:paraId="6F3845C1" w14:textId="77777777" w:rsidTr="00D76315">
        <w:trPr>
          <w:trHeight w:val="454"/>
        </w:trPr>
        <w:tc>
          <w:tcPr>
            <w:tcW w:w="9006" w:type="dxa"/>
            <w:gridSpan w:val="2"/>
            <w:shd w:val="clear" w:color="auto" w:fill="061072"/>
            <w:vAlign w:val="center"/>
          </w:tcPr>
          <w:p w14:paraId="6A0C26C5" w14:textId="20C06DCA" w:rsidR="00986B2C" w:rsidRPr="00C408DF" w:rsidRDefault="00C408DF" w:rsidP="00BA0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9B1">
              <w:rPr>
                <w:rFonts w:ascii="Arial" w:hAnsi="Arial" w:cs="Arial"/>
                <w:b/>
                <w:bCs/>
                <w:sz w:val="24"/>
                <w:szCs w:val="24"/>
              </w:rPr>
              <w:t>Section 5</w:t>
            </w:r>
            <w:r w:rsidR="000815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Pr="004349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General comments</w:t>
            </w:r>
          </w:p>
        </w:tc>
      </w:tr>
      <w:tr w:rsidR="00986B2C" w:rsidRPr="008A7EB9" w14:paraId="1337777B" w14:textId="77777777" w:rsidTr="000E4403">
        <w:trPr>
          <w:trHeight w:val="198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08E1B1FA" w14:textId="07296FB4" w:rsidR="00C408DF" w:rsidRPr="00782ADD" w:rsidRDefault="00C408DF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any additional comments here.</w:t>
            </w:r>
          </w:p>
          <w:p w14:paraId="00EE0D6C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935B92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0DAC153" w14:textId="77777777" w:rsidR="00986B2C" w:rsidRPr="00782ADD" w:rsidRDefault="00986B2C" w:rsidP="00BA00A5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9BC347" w14:textId="77777777" w:rsidR="00420A7C" w:rsidRDefault="00420A7C" w:rsidP="00BA00A5">
      <w:pPr>
        <w:spacing w:after="0" w:line="276" w:lineRule="auto"/>
      </w:pPr>
    </w:p>
    <w:sectPr w:rsidR="00420A7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CBDE" w14:textId="77777777" w:rsidR="00D565B3" w:rsidRDefault="00D565B3" w:rsidP="00C408DF">
      <w:pPr>
        <w:spacing w:after="0" w:line="240" w:lineRule="auto"/>
      </w:pPr>
      <w:r>
        <w:separator/>
      </w:r>
    </w:p>
  </w:endnote>
  <w:endnote w:type="continuationSeparator" w:id="0">
    <w:p w14:paraId="46D2CEBA" w14:textId="77777777" w:rsidR="00D565B3" w:rsidRDefault="00D565B3" w:rsidP="00C4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2206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B10273" w14:textId="02E1B514" w:rsidR="0008154D" w:rsidRDefault="0008154D" w:rsidP="0008154D">
            <w:pPr>
              <w:pStyle w:val="Footer"/>
              <w:jc w:val="center"/>
            </w:pPr>
            <w:r w:rsidRPr="0008154D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8154D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0815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6C9C" w14:textId="77777777" w:rsidR="00D565B3" w:rsidRDefault="00D565B3" w:rsidP="00C408DF">
      <w:pPr>
        <w:spacing w:after="0" w:line="240" w:lineRule="auto"/>
      </w:pPr>
      <w:r>
        <w:separator/>
      </w:r>
    </w:p>
  </w:footnote>
  <w:footnote w:type="continuationSeparator" w:id="0">
    <w:p w14:paraId="4EB58C59" w14:textId="77777777" w:rsidR="00D565B3" w:rsidRDefault="00D565B3" w:rsidP="00C4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63ED" w14:textId="49415AA5" w:rsidR="00BA00A5" w:rsidRDefault="00BA00A5" w:rsidP="00BA00A5">
    <w:pPr>
      <w:pStyle w:val="Header"/>
      <w:jc w:val="center"/>
    </w:pPr>
    <w:r>
      <w:rPr>
        <w:noProof/>
        <w:lang w:eastAsia="en-IE"/>
      </w:rPr>
      <w:drawing>
        <wp:inline distT="0" distB="0" distL="0" distR="0" wp14:anchorId="6B3F5450" wp14:editId="0DEBA9AF">
          <wp:extent cx="1618488" cy="539496"/>
          <wp:effectExtent l="0" t="0" r="1270" b="0"/>
          <wp:docPr id="1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2E7A9" w14:textId="77777777" w:rsidR="00BA00A5" w:rsidRDefault="00BA00A5" w:rsidP="00BA00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401E"/>
    <w:multiLevelType w:val="hybridMultilevel"/>
    <w:tmpl w:val="BD7606A8"/>
    <w:lvl w:ilvl="0" w:tplc="3C2A8C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4375E8"/>
    <w:multiLevelType w:val="hybridMultilevel"/>
    <w:tmpl w:val="58F2A38C"/>
    <w:lvl w:ilvl="0" w:tplc="3C2A8C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933428">
    <w:abstractNumId w:val="1"/>
  </w:num>
  <w:num w:numId="2" w16cid:durableId="19071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2C"/>
    <w:rsid w:val="0008154D"/>
    <w:rsid w:val="0016194E"/>
    <w:rsid w:val="00376ADB"/>
    <w:rsid w:val="00401EEC"/>
    <w:rsid w:val="00411B49"/>
    <w:rsid w:val="00420A7C"/>
    <w:rsid w:val="00437BE5"/>
    <w:rsid w:val="004647C6"/>
    <w:rsid w:val="0046788D"/>
    <w:rsid w:val="00474142"/>
    <w:rsid w:val="005823DD"/>
    <w:rsid w:val="005D3DFA"/>
    <w:rsid w:val="005F1498"/>
    <w:rsid w:val="00610DD1"/>
    <w:rsid w:val="00637175"/>
    <w:rsid w:val="00657F6E"/>
    <w:rsid w:val="00691ED8"/>
    <w:rsid w:val="00713F0C"/>
    <w:rsid w:val="00872113"/>
    <w:rsid w:val="00913FCD"/>
    <w:rsid w:val="00962F8E"/>
    <w:rsid w:val="00971F67"/>
    <w:rsid w:val="00986B2C"/>
    <w:rsid w:val="009E7B69"/>
    <w:rsid w:val="00A00FFE"/>
    <w:rsid w:val="00B7675F"/>
    <w:rsid w:val="00B879CF"/>
    <w:rsid w:val="00BA00A5"/>
    <w:rsid w:val="00BF485D"/>
    <w:rsid w:val="00C408DF"/>
    <w:rsid w:val="00D3006C"/>
    <w:rsid w:val="00D565B3"/>
    <w:rsid w:val="00D76315"/>
    <w:rsid w:val="00DE08CA"/>
    <w:rsid w:val="00F50854"/>
    <w:rsid w:val="00F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3D00"/>
  <w15:chartTrackingRefBased/>
  <w15:docId w15:val="{CF5147A2-2341-4BA2-8849-0FA651F2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paragraph" w:styleId="Heading1">
    <w:name w:val="heading 1"/>
    <w:basedOn w:val="Normal"/>
    <w:next w:val="Normal"/>
    <w:link w:val="Heading1Char"/>
    <w:uiPriority w:val="9"/>
    <w:qFormat/>
    <w:rsid w:val="0098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B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6B2C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B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B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DF"/>
  </w:style>
  <w:style w:type="paragraph" w:styleId="Footer">
    <w:name w:val="footer"/>
    <w:basedOn w:val="Normal"/>
    <w:link w:val="FooterChar"/>
    <w:uiPriority w:val="99"/>
    <w:unhideWhenUsed/>
    <w:rsid w:val="00C4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DF"/>
  </w:style>
  <w:style w:type="paragraph" w:styleId="Revision">
    <w:name w:val="Revision"/>
    <w:hidden/>
    <w:uiPriority w:val="99"/>
    <w:semiHidden/>
    <w:rsid w:val="005F1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tion@pensionsauthorit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Smith (Pensions Authority)</dc:creator>
  <cp:keywords/>
  <dc:description/>
  <cp:lastModifiedBy>Gillian Smith (Pensions Authority)</cp:lastModifiedBy>
  <cp:revision>4</cp:revision>
  <dcterms:created xsi:type="dcterms:W3CDTF">2025-04-29T10:36:00Z</dcterms:created>
  <dcterms:modified xsi:type="dcterms:W3CDTF">2025-04-30T15:20:00Z</dcterms:modified>
</cp:coreProperties>
</file>